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4983D" w14:textId="77777777" w:rsidR="0077759E" w:rsidRPr="006A7351" w:rsidRDefault="0077759E" w:rsidP="007C6AE5">
      <w:pPr>
        <w:pStyle w:val="Titre"/>
        <w:jc w:val="center"/>
      </w:pPr>
      <w:r w:rsidRPr="006A7351">
        <w:t>REGLEMENT INTERIEUR</w:t>
      </w:r>
    </w:p>
    <w:p w14:paraId="04A14DE8" w14:textId="77777777" w:rsidR="0077759E" w:rsidRPr="006A7351" w:rsidRDefault="0077759E" w:rsidP="007C6AE5">
      <w:pPr>
        <w:pStyle w:val="Titre"/>
        <w:jc w:val="center"/>
      </w:pPr>
      <w:r w:rsidRPr="006A7351">
        <w:t>DU FONDS CENTRAL DE SOLIDARITE</w:t>
      </w:r>
    </w:p>
    <w:p w14:paraId="3B36666B" w14:textId="77777777" w:rsidR="0077759E" w:rsidRPr="006A7351" w:rsidRDefault="0077759E" w:rsidP="007C6AE5">
      <w:pPr>
        <w:pStyle w:val="Titre"/>
        <w:jc w:val="center"/>
      </w:pPr>
      <w:r w:rsidRPr="006A7351">
        <w:t>DE L’ASSOCIATION VALENTIN HAUY</w:t>
      </w:r>
    </w:p>
    <w:p w14:paraId="3103E5FF" w14:textId="5AE67ED9" w:rsidR="0077759E" w:rsidRDefault="0077759E" w:rsidP="007C6AE5">
      <w:pPr>
        <w:pStyle w:val="Titre"/>
        <w:jc w:val="center"/>
      </w:pPr>
      <w:r w:rsidRPr="006A7351">
        <w:t xml:space="preserve">Adopté par le </w:t>
      </w:r>
      <w:r w:rsidR="004C6161">
        <w:t>conseil d’administration</w:t>
      </w:r>
      <w:r w:rsidRPr="006A7351">
        <w:t xml:space="preserve"> du</w:t>
      </w:r>
      <w:r w:rsidR="0098572A">
        <w:t xml:space="preserve"> </w:t>
      </w:r>
      <w:r w:rsidR="0098572A">
        <w:br/>
      </w:r>
      <w:r w:rsidR="00D109A1">
        <w:t xml:space="preserve">11 décembre </w:t>
      </w:r>
      <w:r w:rsidR="00284038">
        <w:t>201</w:t>
      </w:r>
      <w:r w:rsidR="00D109A1">
        <w:t>9</w:t>
      </w:r>
    </w:p>
    <w:p w14:paraId="7D9B3A47" w14:textId="7A047C48" w:rsidR="009A1FB8" w:rsidRDefault="009A1FB8" w:rsidP="00A052A7">
      <w:pPr>
        <w:tabs>
          <w:tab w:val="left" w:pos="1245"/>
        </w:tabs>
      </w:pPr>
    </w:p>
    <w:p w14:paraId="103EDAE3" w14:textId="249EE0FB" w:rsidR="00A052A7" w:rsidRDefault="009A1FB8">
      <w:pPr>
        <w:pStyle w:val="TM1"/>
        <w:tabs>
          <w:tab w:val="right" w:leader="dot" w:pos="9062"/>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29482538" w:history="1">
        <w:r w:rsidR="00A052A7" w:rsidRPr="00B9099F">
          <w:rPr>
            <w:rStyle w:val="Lienhypertexte"/>
            <w:rFonts w:eastAsia="Verdana"/>
            <w:noProof/>
          </w:rPr>
          <w:t>Préambule</w:t>
        </w:r>
        <w:r w:rsidR="00A052A7">
          <w:rPr>
            <w:noProof/>
            <w:webHidden/>
          </w:rPr>
          <w:tab/>
        </w:r>
        <w:r w:rsidR="00A052A7">
          <w:rPr>
            <w:noProof/>
            <w:webHidden/>
          </w:rPr>
          <w:fldChar w:fldCharType="begin"/>
        </w:r>
        <w:r w:rsidR="00A052A7">
          <w:rPr>
            <w:noProof/>
            <w:webHidden/>
          </w:rPr>
          <w:instrText xml:space="preserve"> PAGEREF _Toc29482538 \h </w:instrText>
        </w:r>
        <w:r w:rsidR="00A052A7">
          <w:rPr>
            <w:noProof/>
            <w:webHidden/>
          </w:rPr>
        </w:r>
        <w:r w:rsidR="00A052A7">
          <w:rPr>
            <w:noProof/>
            <w:webHidden/>
          </w:rPr>
          <w:fldChar w:fldCharType="separate"/>
        </w:r>
        <w:r w:rsidR="00A052A7">
          <w:rPr>
            <w:noProof/>
            <w:webHidden/>
          </w:rPr>
          <w:t>1</w:t>
        </w:r>
        <w:r w:rsidR="00A052A7">
          <w:rPr>
            <w:noProof/>
            <w:webHidden/>
          </w:rPr>
          <w:fldChar w:fldCharType="end"/>
        </w:r>
      </w:hyperlink>
    </w:p>
    <w:p w14:paraId="565FE9B7" w14:textId="42D1C62D"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39" w:history="1">
        <w:r w:rsidRPr="00B9099F">
          <w:rPr>
            <w:rStyle w:val="Lienhypertexte"/>
            <w:rFonts w:eastAsia="Verdana"/>
            <w:noProof/>
          </w:rPr>
          <w:t>Article 1 : Principes généraux</w:t>
        </w:r>
        <w:r>
          <w:rPr>
            <w:noProof/>
            <w:webHidden/>
          </w:rPr>
          <w:tab/>
        </w:r>
        <w:r>
          <w:rPr>
            <w:noProof/>
            <w:webHidden/>
          </w:rPr>
          <w:fldChar w:fldCharType="begin"/>
        </w:r>
        <w:r>
          <w:rPr>
            <w:noProof/>
            <w:webHidden/>
          </w:rPr>
          <w:instrText xml:space="preserve"> PAGEREF _Toc29482539 \h </w:instrText>
        </w:r>
        <w:r>
          <w:rPr>
            <w:noProof/>
            <w:webHidden/>
          </w:rPr>
        </w:r>
        <w:r>
          <w:rPr>
            <w:noProof/>
            <w:webHidden/>
          </w:rPr>
          <w:fldChar w:fldCharType="separate"/>
        </w:r>
        <w:r>
          <w:rPr>
            <w:noProof/>
            <w:webHidden/>
          </w:rPr>
          <w:t>2</w:t>
        </w:r>
        <w:r>
          <w:rPr>
            <w:noProof/>
            <w:webHidden/>
          </w:rPr>
          <w:fldChar w:fldCharType="end"/>
        </w:r>
      </w:hyperlink>
    </w:p>
    <w:p w14:paraId="3895F49D" w14:textId="78112F74"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40" w:history="1">
        <w:r w:rsidRPr="00B9099F">
          <w:rPr>
            <w:rStyle w:val="Lienhypertexte"/>
            <w:rFonts w:eastAsia="Verdana"/>
            <w:noProof/>
          </w:rPr>
          <w:t>Article 2 : Objets des aides</w:t>
        </w:r>
        <w:r>
          <w:rPr>
            <w:noProof/>
            <w:webHidden/>
          </w:rPr>
          <w:tab/>
        </w:r>
        <w:r>
          <w:rPr>
            <w:noProof/>
            <w:webHidden/>
          </w:rPr>
          <w:fldChar w:fldCharType="begin"/>
        </w:r>
        <w:r>
          <w:rPr>
            <w:noProof/>
            <w:webHidden/>
          </w:rPr>
          <w:instrText xml:space="preserve"> PAGEREF _Toc29482540 \h </w:instrText>
        </w:r>
        <w:r>
          <w:rPr>
            <w:noProof/>
            <w:webHidden/>
          </w:rPr>
        </w:r>
        <w:r>
          <w:rPr>
            <w:noProof/>
            <w:webHidden/>
          </w:rPr>
          <w:fldChar w:fldCharType="separate"/>
        </w:r>
        <w:r>
          <w:rPr>
            <w:noProof/>
            <w:webHidden/>
          </w:rPr>
          <w:t>2</w:t>
        </w:r>
        <w:r>
          <w:rPr>
            <w:noProof/>
            <w:webHidden/>
          </w:rPr>
          <w:fldChar w:fldCharType="end"/>
        </w:r>
      </w:hyperlink>
    </w:p>
    <w:p w14:paraId="6BD5EA6C" w14:textId="7D9E2C3B"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41" w:history="1">
        <w:r w:rsidRPr="00B9099F">
          <w:rPr>
            <w:rStyle w:val="Lienhypertexte"/>
            <w:rFonts w:eastAsia="Verdana"/>
            <w:noProof/>
          </w:rPr>
          <w:t>Article 3 : Constitution de la Commission</w:t>
        </w:r>
        <w:r>
          <w:rPr>
            <w:noProof/>
            <w:webHidden/>
          </w:rPr>
          <w:tab/>
        </w:r>
        <w:r>
          <w:rPr>
            <w:noProof/>
            <w:webHidden/>
          </w:rPr>
          <w:fldChar w:fldCharType="begin"/>
        </w:r>
        <w:r>
          <w:rPr>
            <w:noProof/>
            <w:webHidden/>
          </w:rPr>
          <w:instrText xml:space="preserve"> PAGEREF _Toc29482541 \h </w:instrText>
        </w:r>
        <w:r>
          <w:rPr>
            <w:noProof/>
            <w:webHidden/>
          </w:rPr>
        </w:r>
        <w:r>
          <w:rPr>
            <w:noProof/>
            <w:webHidden/>
          </w:rPr>
          <w:fldChar w:fldCharType="separate"/>
        </w:r>
        <w:r>
          <w:rPr>
            <w:noProof/>
            <w:webHidden/>
          </w:rPr>
          <w:t>3</w:t>
        </w:r>
        <w:r>
          <w:rPr>
            <w:noProof/>
            <w:webHidden/>
          </w:rPr>
          <w:fldChar w:fldCharType="end"/>
        </w:r>
      </w:hyperlink>
    </w:p>
    <w:p w14:paraId="088F24B4" w14:textId="49DDF6C0"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42" w:history="1">
        <w:r w:rsidRPr="00B9099F">
          <w:rPr>
            <w:rStyle w:val="Lienhypertexte"/>
            <w:rFonts w:eastAsia="Verdana"/>
            <w:noProof/>
          </w:rPr>
          <w:t>Article 4 : Fonctionne</w:t>
        </w:r>
        <w:r w:rsidRPr="00B9099F">
          <w:rPr>
            <w:rStyle w:val="Lienhypertexte"/>
            <w:rFonts w:eastAsia="Verdana"/>
            <w:noProof/>
          </w:rPr>
          <w:t>m</w:t>
        </w:r>
        <w:r w:rsidRPr="00B9099F">
          <w:rPr>
            <w:rStyle w:val="Lienhypertexte"/>
            <w:rFonts w:eastAsia="Verdana"/>
            <w:noProof/>
          </w:rPr>
          <w:t>ent de la Commission</w:t>
        </w:r>
        <w:r>
          <w:rPr>
            <w:noProof/>
            <w:webHidden/>
          </w:rPr>
          <w:tab/>
        </w:r>
        <w:r>
          <w:rPr>
            <w:noProof/>
            <w:webHidden/>
          </w:rPr>
          <w:fldChar w:fldCharType="begin"/>
        </w:r>
        <w:r>
          <w:rPr>
            <w:noProof/>
            <w:webHidden/>
          </w:rPr>
          <w:instrText xml:space="preserve"> PAGEREF _Toc29482542 \h </w:instrText>
        </w:r>
        <w:r>
          <w:rPr>
            <w:noProof/>
            <w:webHidden/>
          </w:rPr>
        </w:r>
        <w:r>
          <w:rPr>
            <w:noProof/>
            <w:webHidden/>
          </w:rPr>
          <w:fldChar w:fldCharType="separate"/>
        </w:r>
        <w:r>
          <w:rPr>
            <w:noProof/>
            <w:webHidden/>
          </w:rPr>
          <w:t>4</w:t>
        </w:r>
        <w:r>
          <w:rPr>
            <w:noProof/>
            <w:webHidden/>
          </w:rPr>
          <w:fldChar w:fldCharType="end"/>
        </w:r>
      </w:hyperlink>
    </w:p>
    <w:p w14:paraId="767FBD6B" w14:textId="14EEEC58"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43" w:history="1">
        <w:r w:rsidRPr="00B9099F">
          <w:rPr>
            <w:rStyle w:val="Lienhypertexte"/>
            <w:rFonts w:eastAsia="Verdana"/>
            <w:noProof/>
          </w:rPr>
          <w:t>Article 5 : Fonds de réserve du FCS</w:t>
        </w:r>
        <w:r>
          <w:rPr>
            <w:noProof/>
            <w:webHidden/>
          </w:rPr>
          <w:tab/>
        </w:r>
        <w:r>
          <w:rPr>
            <w:noProof/>
            <w:webHidden/>
          </w:rPr>
          <w:fldChar w:fldCharType="begin"/>
        </w:r>
        <w:r>
          <w:rPr>
            <w:noProof/>
            <w:webHidden/>
          </w:rPr>
          <w:instrText xml:space="preserve"> PAGEREF _Toc29482543 \h </w:instrText>
        </w:r>
        <w:r>
          <w:rPr>
            <w:noProof/>
            <w:webHidden/>
          </w:rPr>
        </w:r>
        <w:r>
          <w:rPr>
            <w:noProof/>
            <w:webHidden/>
          </w:rPr>
          <w:fldChar w:fldCharType="separate"/>
        </w:r>
        <w:r>
          <w:rPr>
            <w:noProof/>
            <w:webHidden/>
          </w:rPr>
          <w:t>4</w:t>
        </w:r>
        <w:r>
          <w:rPr>
            <w:noProof/>
            <w:webHidden/>
          </w:rPr>
          <w:fldChar w:fldCharType="end"/>
        </w:r>
      </w:hyperlink>
    </w:p>
    <w:p w14:paraId="1D929C46" w14:textId="7A0510B7"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44" w:history="1">
        <w:r w:rsidRPr="00B9099F">
          <w:rPr>
            <w:rStyle w:val="Lienhypertexte"/>
            <w:rFonts w:eastAsia="Verdana"/>
            <w:noProof/>
          </w:rPr>
          <w:t>Article 6 : Montants des aides</w:t>
        </w:r>
        <w:r>
          <w:rPr>
            <w:noProof/>
            <w:webHidden/>
          </w:rPr>
          <w:tab/>
        </w:r>
        <w:r>
          <w:rPr>
            <w:noProof/>
            <w:webHidden/>
          </w:rPr>
          <w:fldChar w:fldCharType="begin"/>
        </w:r>
        <w:r>
          <w:rPr>
            <w:noProof/>
            <w:webHidden/>
          </w:rPr>
          <w:instrText xml:space="preserve"> PAGEREF _Toc29482544 \h </w:instrText>
        </w:r>
        <w:r>
          <w:rPr>
            <w:noProof/>
            <w:webHidden/>
          </w:rPr>
        </w:r>
        <w:r>
          <w:rPr>
            <w:noProof/>
            <w:webHidden/>
          </w:rPr>
          <w:fldChar w:fldCharType="separate"/>
        </w:r>
        <w:r>
          <w:rPr>
            <w:noProof/>
            <w:webHidden/>
          </w:rPr>
          <w:t>4</w:t>
        </w:r>
        <w:r>
          <w:rPr>
            <w:noProof/>
            <w:webHidden/>
          </w:rPr>
          <w:fldChar w:fldCharType="end"/>
        </w:r>
      </w:hyperlink>
    </w:p>
    <w:p w14:paraId="1C81DA36" w14:textId="1E0F082F"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45" w:history="1">
        <w:r w:rsidRPr="00B9099F">
          <w:rPr>
            <w:rStyle w:val="Lienhypertexte"/>
            <w:rFonts w:eastAsia="Verdana"/>
            <w:noProof/>
          </w:rPr>
          <w:t>Article 7 : Dossier de demande</w:t>
        </w:r>
        <w:r>
          <w:rPr>
            <w:noProof/>
            <w:webHidden/>
          </w:rPr>
          <w:tab/>
        </w:r>
        <w:r>
          <w:rPr>
            <w:noProof/>
            <w:webHidden/>
          </w:rPr>
          <w:fldChar w:fldCharType="begin"/>
        </w:r>
        <w:r>
          <w:rPr>
            <w:noProof/>
            <w:webHidden/>
          </w:rPr>
          <w:instrText xml:space="preserve"> PAGEREF _Toc29482545 \h </w:instrText>
        </w:r>
        <w:r>
          <w:rPr>
            <w:noProof/>
            <w:webHidden/>
          </w:rPr>
        </w:r>
        <w:r>
          <w:rPr>
            <w:noProof/>
            <w:webHidden/>
          </w:rPr>
          <w:fldChar w:fldCharType="separate"/>
        </w:r>
        <w:r>
          <w:rPr>
            <w:noProof/>
            <w:webHidden/>
          </w:rPr>
          <w:t>5</w:t>
        </w:r>
        <w:r>
          <w:rPr>
            <w:noProof/>
            <w:webHidden/>
          </w:rPr>
          <w:fldChar w:fldCharType="end"/>
        </w:r>
      </w:hyperlink>
    </w:p>
    <w:p w14:paraId="3C9D069C" w14:textId="2156E7A1"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46" w:history="1">
        <w:r w:rsidRPr="00B9099F">
          <w:rPr>
            <w:rStyle w:val="Lienhypertexte"/>
            <w:rFonts w:eastAsia="Verdana"/>
            <w:noProof/>
          </w:rPr>
          <w:t>Article 8 : Formalisation de l’aide</w:t>
        </w:r>
        <w:r>
          <w:rPr>
            <w:noProof/>
            <w:webHidden/>
          </w:rPr>
          <w:tab/>
        </w:r>
        <w:r>
          <w:rPr>
            <w:noProof/>
            <w:webHidden/>
          </w:rPr>
          <w:fldChar w:fldCharType="begin"/>
        </w:r>
        <w:r>
          <w:rPr>
            <w:noProof/>
            <w:webHidden/>
          </w:rPr>
          <w:instrText xml:space="preserve"> PAGEREF _Toc29482546 \h </w:instrText>
        </w:r>
        <w:r>
          <w:rPr>
            <w:noProof/>
            <w:webHidden/>
          </w:rPr>
        </w:r>
        <w:r>
          <w:rPr>
            <w:noProof/>
            <w:webHidden/>
          </w:rPr>
          <w:fldChar w:fldCharType="separate"/>
        </w:r>
        <w:r>
          <w:rPr>
            <w:noProof/>
            <w:webHidden/>
          </w:rPr>
          <w:t>5</w:t>
        </w:r>
        <w:r>
          <w:rPr>
            <w:noProof/>
            <w:webHidden/>
          </w:rPr>
          <w:fldChar w:fldCharType="end"/>
        </w:r>
      </w:hyperlink>
    </w:p>
    <w:p w14:paraId="6F1362F7" w14:textId="11EE909C"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47" w:history="1">
        <w:r w:rsidRPr="00B9099F">
          <w:rPr>
            <w:rStyle w:val="Lienhypertexte"/>
            <w:rFonts w:eastAsia="Verdana"/>
            <w:noProof/>
          </w:rPr>
          <w:t>Article 9 : Remboursements d’un prêt</w:t>
        </w:r>
        <w:r>
          <w:rPr>
            <w:noProof/>
            <w:webHidden/>
          </w:rPr>
          <w:tab/>
        </w:r>
        <w:r>
          <w:rPr>
            <w:noProof/>
            <w:webHidden/>
          </w:rPr>
          <w:fldChar w:fldCharType="begin"/>
        </w:r>
        <w:r>
          <w:rPr>
            <w:noProof/>
            <w:webHidden/>
          </w:rPr>
          <w:instrText xml:space="preserve"> PAGEREF _Toc29482547 \h </w:instrText>
        </w:r>
        <w:r>
          <w:rPr>
            <w:noProof/>
            <w:webHidden/>
          </w:rPr>
        </w:r>
        <w:r>
          <w:rPr>
            <w:noProof/>
            <w:webHidden/>
          </w:rPr>
          <w:fldChar w:fldCharType="separate"/>
        </w:r>
        <w:r>
          <w:rPr>
            <w:noProof/>
            <w:webHidden/>
          </w:rPr>
          <w:t>6</w:t>
        </w:r>
        <w:r>
          <w:rPr>
            <w:noProof/>
            <w:webHidden/>
          </w:rPr>
          <w:fldChar w:fldCharType="end"/>
        </w:r>
      </w:hyperlink>
    </w:p>
    <w:p w14:paraId="55C884D5" w14:textId="24D30EF9"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48" w:history="1">
        <w:r w:rsidRPr="00B9099F">
          <w:rPr>
            <w:rStyle w:val="Lienhypertexte"/>
            <w:rFonts w:eastAsia="Verdana"/>
            <w:noProof/>
          </w:rPr>
          <w:t>Article 10 : Assurances</w:t>
        </w:r>
        <w:r>
          <w:rPr>
            <w:noProof/>
            <w:webHidden/>
          </w:rPr>
          <w:tab/>
        </w:r>
        <w:r>
          <w:rPr>
            <w:noProof/>
            <w:webHidden/>
          </w:rPr>
          <w:fldChar w:fldCharType="begin"/>
        </w:r>
        <w:r>
          <w:rPr>
            <w:noProof/>
            <w:webHidden/>
          </w:rPr>
          <w:instrText xml:space="preserve"> PAGEREF _Toc29482548 \h </w:instrText>
        </w:r>
        <w:r>
          <w:rPr>
            <w:noProof/>
            <w:webHidden/>
          </w:rPr>
        </w:r>
        <w:r>
          <w:rPr>
            <w:noProof/>
            <w:webHidden/>
          </w:rPr>
          <w:fldChar w:fldCharType="separate"/>
        </w:r>
        <w:r>
          <w:rPr>
            <w:noProof/>
            <w:webHidden/>
          </w:rPr>
          <w:t>7</w:t>
        </w:r>
        <w:r>
          <w:rPr>
            <w:noProof/>
            <w:webHidden/>
          </w:rPr>
          <w:fldChar w:fldCharType="end"/>
        </w:r>
      </w:hyperlink>
    </w:p>
    <w:p w14:paraId="089CB6D3" w14:textId="609E84E4"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49" w:history="1">
        <w:r w:rsidRPr="00B9099F">
          <w:rPr>
            <w:rStyle w:val="Lienhypertexte"/>
            <w:rFonts w:eastAsia="Verdana"/>
            <w:noProof/>
          </w:rPr>
          <w:t>Article 11 : Défaut de remboursement</w:t>
        </w:r>
        <w:r>
          <w:rPr>
            <w:noProof/>
            <w:webHidden/>
          </w:rPr>
          <w:tab/>
        </w:r>
        <w:r>
          <w:rPr>
            <w:noProof/>
            <w:webHidden/>
          </w:rPr>
          <w:fldChar w:fldCharType="begin"/>
        </w:r>
        <w:r>
          <w:rPr>
            <w:noProof/>
            <w:webHidden/>
          </w:rPr>
          <w:instrText xml:space="preserve"> PAGEREF _Toc29482549 \h </w:instrText>
        </w:r>
        <w:r>
          <w:rPr>
            <w:noProof/>
            <w:webHidden/>
          </w:rPr>
        </w:r>
        <w:r>
          <w:rPr>
            <w:noProof/>
            <w:webHidden/>
          </w:rPr>
          <w:fldChar w:fldCharType="separate"/>
        </w:r>
        <w:r>
          <w:rPr>
            <w:noProof/>
            <w:webHidden/>
          </w:rPr>
          <w:t>8</w:t>
        </w:r>
        <w:r>
          <w:rPr>
            <w:noProof/>
            <w:webHidden/>
          </w:rPr>
          <w:fldChar w:fldCharType="end"/>
        </w:r>
      </w:hyperlink>
    </w:p>
    <w:p w14:paraId="7F1E6F27" w14:textId="551E9671" w:rsidR="00A052A7" w:rsidRDefault="00A052A7">
      <w:pPr>
        <w:pStyle w:val="TM1"/>
        <w:tabs>
          <w:tab w:val="right" w:leader="dot" w:pos="9062"/>
        </w:tabs>
        <w:rPr>
          <w:rFonts w:asciiTheme="minorHAnsi" w:eastAsiaTheme="minorEastAsia" w:hAnsiTheme="minorHAnsi" w:cstheme="minorBidi"/>
          <w:noProof/>
          <w:sz w:val="22"/>
          <w:szCs w:val="22"/>
        </w:rPr>
      </w:pPr>
      <w:hyperlink w:anchor="_Toc29482550" w:history="1">
        <w:r w:rsidRPr="00B9099F">
          <w:rPr>
            <w:rStyle w:val="Lienhypertexte"/>
            <w:rFonts w:eastAsia="Verdana"/>
            <w:noProof/>
          </w:rPr>
          <w:t>Article 12 : Données personnelles</w:t>
        </w:r>
        <w:r>
          <w:rPr>
            <w:noProof/>
            <w:webHidden/>
          </w:rPr>
          <w:tab/>
        </w:r>
        <w:r>
          <w:rPr>
            <w:noProof/>
            <w:webHidden/>
          </w:rPr>
          <w:fldChar w:fldCharType="begin"/>
        </w:r>
        <w:r>
          <w:rPr>
            <w:noProof/>
            <w:webHidden/>
          </w:rPr>
          <w:instrText xml:space="preserve"> PAGEREF _Toc29482550 \h </w:instrText>
        </w:r>
        <w:r>
          <w:rPr>
            <w:noProof/>
            <w:webHidden/>
          </w:rPr>
        </w:r>
        <w:r>
          <w:rPr>
            <w:noProof/>
            <w:webHidden/>
          </w:rPr>
          <w:fldChar w:fldCharType="separate"/>
        </w:r>
        <w:r>
          <w:rPr>
            <w:noProof/>
            <w:webHidden/>
          </w:rPr>
          <w:t>8</w:t>
        </w:r>
        <w:r>
          <w:rPr>
            <w:noProof/>
            <w:webHidden/>
          </w:rPr>
          <w:fldChar w:fldCharType="end"/>
        </w:r>
      </w:hyperlink>
    </w:p>
    <w:p w14:paraId="0703EC81" w14:textId="4D9B1557" w:rsidR="009A1FB8" w:rsidRDefault="009A1FB8" w:rsidP="009A1FB8">
      <w:r>
        <w:fldChar w:fldCharType="end"/>
      </w:r>
    </w:p>
    <w:p w14:paraId="3C94BA00" w14:textId="77777777" w:rsidR="0077759E" w:rsidRPr="006A7351" w:rsidRDefault="0077759E" w:rsidP="00192CA2">
      <w:pPr>
        <w:pStyle w:val="Titre1"/>
        <w:numPr>
          <w:ilvl w:val="0"/>
          <w:numId w:val="0"/>
        </w:numPr>
        <w:ind w:left="432" w:hanging="432"/>
      </w:pPr>
      <w:bookmarkStart w:id="0" w:name="_Toc29482538"/>
      <w:r w:rsidRPr="006A7351">
        <w:t>Préambule</w:t>
      </w:r>
      <w:bookmarkEnd w:id="0"/>
    </w:p>
    <w:p w14:paraId="30B06120" w14:textId="77777777" w:rsidR="0077759E" w:rsidRPr="007C6AE5" w:rsidRDefault="0077759E" w:rsidP="007C6AE5">
      <w:pPr>
        <w:ind w:left="0"/>
        <w:jc w:val="both"/>
      </w:pPr>
      <w:r w:rsidRPr="007C6AE5">
        <w:t>En 1956, le</w:t>
      </w:r>
      <w:r w:rsidR="007C6AE5">
        <w:t xml:space="preserve"> Conseil d'Administration de l'a</w:t>
      </w:r>
      <w:r w:rsidRPr="007C6AE5">
        <w:t xml:space="preserve">ssociation Valentin Haüy créait une "Caisse de prêts d'honneur" afin d'aider les personnes aveugles ou déficientes visuelles en difficulté. Cette action d'aide se poursuit depuis, </w:t>
      </w:r>
      <w:r w:rsidRPr="007C6AE5">
        <w:lastRenderedPageBreak/>
        <w:t>grâce, d'une part, aux apports financiers du Siège de l’association et, d'autre part, aux remboursements et dons éventuels des emprunteurs.</w:t>
      </w:r>
    </w:p>
    <w:p w14:paraId="798ADB45" w14:textId="77777777" w:rsidR="0077759E" w:rsidRPr="007C6AE5" w:rsidRDefault="0077759E" w:rsidP="007C6AE5">
      <w:pPr>
        <w:ind w:left="0"/>
        <w:jc w:val="both"/>
      </w:pPr>
      <w:r w:rsidRPr="007C6AE5">
        <w:t>C'est pourquoi les promoteurs de cette initiative l'ont appelé "Fonds Central de Solidarité" (FCS).</w:t>
      </w:r>
    </w:p>
    <w:p w14:paraId="5F0ACD51" w14:textId="77777777" w:rsidR="0077759E" w:rsidRPr="006A7351" w:rsidRDefault="0077759E" w:rsidP="00192CA2">
      <w:pPr>
        <w:pStyle w:val="Titre1"/>
        <w:numPr>
          <w:ilvl w:val="0"/>
          <w:numId w:val="0"/>
        </w:numPr>
        <w:ind w:left="432" w:hanging="432"/>
      </w:pPr>
      <w:bookmarkStart w:id="1" w:name="_Toc29482539"/>
      <w:r w:rsidRPr="006A7351">
        <w:t>Article 1</w:t>
      </w:r>
      <w:r w:rsidR="007C6AE5">
        <w:t> : Principes généraux</w:t>
      </w:r>
      <w:bookmarkEnd w:id="1"/>
    </w:p>
    <w:p w14:paraId="3C7381F4" w14:textId="77777777" w:rsidR="0077759E" w:rsidRDefault="0077759E" w:rsidP="007C6AE5">
      <w:pPr>
        <w:ind w:left="0"/>
        <w:jc w:val="both"/>
      </w:pPr>
      <w:r w:rsidRPr="006A7351">
        <w:t>Seules peuvent prétendre à une aide du FCS</w:t>
      </w:r>
      <w:r w:rsidR="007C6AE5">
        <w:t>,</w:t>
      </w:r>
      <w:r w:rsidRPr="006A7351">
        <w:t xml:space="preserve"> les personnes aveugles ou malvoyantes dont le taux d’</w:t>
      </w:r>
      <w:r>
        <w:t>incapacité e</w:t>
      </w:r>
      <w:r w:rsidRPr="006A7351">
        <w:t>st égal ou supérieur à 50 %.</w:t>
      </w:r>
    </w:p>
    <w:p w14:paraId="364D4C33" w14:textId="77777777" w:rsidR="0077759E" w:rsidRDefault="0077759E" w:rsidP="007C6AE5">
      <w:pPr>
        <w:ind w:left="0"/>
        <w:jc w:val="both"/>
      </w:pPr>
      <w:r>
        <w:t>Cette aide est un prêt sans intérêt</w:t>
      </w:r>
      <w:r w:rsidR="004C6161">
        <w:t>s</w:t>
      </w:r>
      <w:r>
        <w:t xml:space="preserve"> dont les modalités sont précisées dans les articles 6, 7, 8 et 9. Toutefois, l</w:t>
      </w:r>
      <w:r w:rsidRPr="006A7351">
        <w:t>e FCS peut</w:t>
      </w:r>
      <w:r>
        <w:t xml:space="preserve"> </w:t>
      </w:r>
      <w:r w:rsidRPr="006A7351">
        <w:t>attribuer des aides d'urgence non remboursables</w:t>
      </w:r>
      <w:r>
        <w:t xml:space="preserve"> lorsque la réalisation de la demande est impérative et son remboursement impossible au vu de la situation financière du demandeur.</w:t>
      </w:r>
    </w:p>
    <w:p w14:paraId="4E712335" w14:textId="77777777" w:rsidR="0077759E" w:rsidRPr="006A7351" w:rsidRDefault="0077759E" w:rsidP="007C6AE5">
      <w:pPr>
        <w:ind w:left="0"/>
        <w:jc w:val="both"/>
      </w:pPr>
      <w:r w:rsidRPr="006A7351">
        <w:t>Le FCS ne peut</w:t>
      </w:r>
      <w:r>
        <w:t>, en principe,</w:t>
      </w:r>
      <w:r w:rsidRPr="006A7351">
        <w:t xml:space="preserve"> être sollicité qu’en absence ou en complément de l’ensemble des aides prévues par la réglementation en vigueur en faveur</w:t>
      </w:r>
      <w:r>
        <w:t xml:space="preserve"> du demandeur</w:t>
      </w:r>
      <w:r w:rsidRPr="006A7351">
        <w:t>. Un</w:t>
      </w:r>
      <w:r>
        <w:t>e</w:t>
      </w:r>
      <w:r w:rsidRPr="006A7351">
        <w:t xml:space="preserve"> seul</w:t>
      </w:r>
      <w:r>
        <w:t>e</w:t>
      </w:r>
      <w:r w:rsidRPr="006A7351">
        <w:t xml:space="preserve"> </w:t>
      </w:r>
      <w:r>
        <w:t xml:space="preserve">aide </w:t>
      </w:r>
      <w:r w:rsidRPr="006A7351">
        <w:t>sera accordé</w:t>
      </w:r>
      <w:r>
        <w:t>e</w:t>
      </w:r>
      <w:r w:rsidRPr="006A7351">
        <w:t xml:space="preserve"> par foyer fiscal. Un second prêt ne pourra être accordé qu'après remboursement total du prêt en cours. </w:t>
      </w:r>
    </w:p>
    <w:p w14:paraId="65608A8F" w14:textId="77777777" w:rsidR="0077759E" w:rsidRPr="00192CA2" w:rsidRDefault="0077759E" w:rsidP="005F5A61">
      <w:pPr>
        <w:pStyle w:val="Titre1"/>
        <w:numPr>
          <w:ilvl w:val="0"/>
          <w:numId w:val="0"/>
        </w:numPr>
        <w:ind w:left="432" w:hanging="432"/>
      </w:pPr>
      <w:bookmarkStart w:id="2" w:name="_Toc29482540"/>
      <w:r w:rsidRPr="00192CA2">
        <w:t>Article 2</w:t>
      </w:r>
      <w:r w:rsidR="00DC6E7D" w:rsidRPr="00192CA2">
        <w:t> : Objets des aides</w:t>
      </w:r>
      <w:bookmarkEnd w:id="2"/>
    </w:p>
    <w:p w14:paraId="43B075C7" w14:textId="77777777" w:rsidR="0077759E" w:rsidRPr="006A7351" w:rsidRDefault="0077759E" w:rsidP="00DC6E7D">
      <w:pPr>
        <w:ind w:left="0"/>
        <w:jc w:val="both"/>
      </w:pPr>
      <w:r w:rsidRPr="006A7351">
        <w:t xml:space="preserve">Les </w:t>
      </w:r>
      <w:r>
        <w:t xml:space="preserve">aides </w:t>
      </w:r>
      <w:r w:rsidRPr="006A7351">
        <w:t>consenti</w:t>
      </w:r>
      <w:r>
        <w:t>e</w:t>
      </w:r>
      <w:r w:rsidRPr="006A7351">
        <w:t>s sont destiné</w:t>
      </w:r>
      <w:r>
        <w:t>e</w:t>
      </w:r>
      <w:r w:rsidRPr="006A7351">
        <w:t>s à favoriser :</w:t>
      </w:r>
    </w:p>
    <w:p w14:paraId="63A3275C" w14:textId="77777777" w:rsidR="0077759E" w:rsidRDefault="0077759E" w:rsidP="00D6303A">
      <w:pPr>
        <w:pStyle w:val="Paragraphedeliste1"/>
        <w:numPr>
          <w:ilvl w:val="0"/>
          <w:numId w:val="2"/>
        </w:numPr>
        <w:jc w:val="both"/>
      </w:pPr>
      <w:r>
        <w:t>L</w:t>
      </w:r>
      <w:r w:rsidRPr="00EF7E5E">
        <w:t>'exercice d'une profession</w:t>
      </w:r>
    </w:p>
    <w:p w14:paraId="085216B1" w14:textId="6C7E00A8" w:rsidR="0023404D" w:rsidRPr="00EF7E5E" w:rsidRDefault="0023404D" w:rsidP="00D6303A">
      <w:pPr>
        <w:pStyle w:val="Paragraphedeliste1"/>
        <w:numPr>
          <w:ilvl w:val="0"/>
          <w:numId w:val="2"/>
        </w:numPr>
        <w:jc w:val="both"/>
      </w:pPr>
      <w:r>
        <w:t>L’acquisition d’aides techniques achetées dans l’ensemble des boutiques de l’AVH si ce matériel y est proposé et le cas échéant, chez un autre fournisseur.</w:t>
      </w:r>
    </w:p>
    <w:p w14:paraId="34753CFD" w14:textId="77777777" w:rsidR="0077759E" w:rsidRPr="00EF7E5E" w:rsidRDefault="0077759E" w:rsidP="00D6303A">
      <w:pPr>
        <w:pStyle w:val="Paragraphedeliste1"/>
        <w:numPr>
          <w:ilvl w:val="0"/>
          <w:numId w:val="2"/>
        </w:numPr>
        <w:jc w:val="both"/>
      </w:pPr>
      <w:r>
        <w:rPr>
          <w:rFonts w:cs="Times New Roman"/>
        </w:rPr>
        <w:t xml:space="preserve">Des sessions de formation </w:t>
      </w:r>
      <w:r w:rsidRPr="00EF7E5E">
        <w:rPr>
          <w:rFonts w:cs="Times New Roman"/>
        </w:rPr>
        <w:t>favorisant l'autonomie personnelle</w:t>
      </w:r>
      <w:r>
        <w:rPr>
          <w:rFonts w:cs="Times New Roman"/>
        </w:rPr>
        <w:t>, telles que l’apprentissage du braille, de la locomotion et l’utilisation d’outils informatiques ad</w:t>
      </w:r>
      <w:r w:rsidR="00DC6E7D">
        <w:rPr>
          <w:rFonts w:cs="Times New Roman"/>
        </w:rPr>
        <w:t>aptés</w:t>
      </w:r>
    </w:p>
    <w:p w14:paraId="10B18DA8" w14:textId="77777777" w:rsidR="0077759E" w:rsidRPr="00EF7E5E" w:rsidRDefault="0077759E" w:rsidP="00D6303A">
      <w:pPr>
        <w:pStyle w:val="Paragraphedeliste1"/>
        <w:numPr>
          <w:ilvl w:val="0"/>
          <w:numId w:val="2"/>
        </w:numPr>
        <w:jc w:val="both"/>
      </w:pPr>
      <w:r w:rsidRPr="00EF7E5E">
        <w:rPr>
          <w:rFonts w:cs="Times New Roman"/>
        </w:rPr>
        <w:t xml:space="preserve">L’accès à des séjours de vacances organisés </w:t>
      </w:r>
      <w:r w:rsidR="00DC6E7D">
        <w:rPr>
          <w:rFonts w:cs="Times New Roman"/>
        </w:rPr>
        <w:t>par l’association V</w:t>
      </w:r>
      <w:r>
        <w:rPr>
          <w:rFonts w:cs="Times New Roman"/>
        </w:rPr>
        <w:t xml:space="preserve">alentin Haüy </w:t>
      </w:r>
      <w:r w:rsidRPr="00EF7E5E">
        <w:rPr>
          <w:rFonts w:cs="Times New Roman"/>
        </w:rPr>
        <w:t>à l'attention des personnes aveugles ou malvoyantes</w:t>
      </w:r>
    </w:p>
    <w:p w14:paraId="06940E0C" w14:textId="77777777" w:rsidR="0077759E" w:rsidRPr="00EF7E5E" w:rsidRDefault="0077759E" w:rsidP="00D6303A">
      <w:pPr>
        <w:pStyle w:val="Paragraphedeliste1"/>
        <w:numPr>
          <w:ilvl w:val="0"/>
          <w:numId w:val="2"/>
        </w:numPr>
        <w:jc w:val="both"/>
      </w:pPr>
      <w:r w:rsidRPr="00EF7E5E">
        <w:rPr>
          <w:rFonts w:cs="Times New Roman"/>
        </w:rPr>
        <w:lastRenderedPageBreak/>
        <w:t xml:space="preserve">L’amélioration de l’habitat pour des travaux </w:t>
      </w:r>
      <w:r>
        <w:rPr>
          <w:rFonts w:cs="Times New Roman"/>
        </w:rPr>
        <w:t xml:space="preserve">qui, sans le handicap visuel, auraient été </w:t>
      </w:r>
      <w:r w:rsidRPr="00EF7E5E">
        <w:rPr>
          <w:rFonts w:cs="Times New Roman"/>
        </w:rPr>
        <w:t>exécutés par le locataire ou le propriétaire lui-même (peinture par exemple) ainsi que des travaux ayant trait à la sécurité et à l’accessibilité</w:t>
      </w:r>
      <w:r w:rsidR="00DC6E7D">
        <w:rPr>
          <w:rFonts w:cs="Times New Roman"/>
        </w:rPr>
        <w:t xml:space="preserve"> du logement</w:t>
      </w:r>
    </w:p>
    <w:p w14:paraId="78EB95AF" w14:textId="77777777" w:rsidR="0077759E" w:rsidRPr="00EF7E5E" w:rsidRDefault="0077759E" w:rsidP="00D6303A">
      <w:pPr>
        <w:pStyle w:val="Paragraphedeliste1"/>
        <w:numPr>
          <w:ilvl w:val="0"/>
          <w:numId w:val="2"/>
        </w:numPr>
        <w:jc w:val="both"/>
      </w:pPr>
      <w:r w:rsidRPr="00EF7E5E">
        <w:rPr>
          <w:rFonts w:cs="Times New Roman"/>
        </w:rPr>
        <w:t>Les frais de déménagement, à l’exception des cautions</w:t>
      </w:r>
    </w:p>
    <w:p w14:paraId="00DA44AD" w14:textId="77777777" w:rsidR="0077759E" w:rsidRPr="00EF7E5E" w:rsidRDefault="0077759E" w:rsidP="00D6303A">
      <w:pPr>
        <w:pStyle w:val="Paragraphedeliste1"/>
        <w:numPr>
          <w:ilvl w:val="0"/>
          <w:numId w:val="2"/>
        </w:numPr>
        <w:jc w:val="both"/>
      </w:pPr>
      <w:r w:rsidRPr="00EF7E5E">
        <w:rPr>
          <w:rFonts w:cs="Times New Roman"/>
        </w:rPr>
        <w:t>L’aide à l’acquisition de mobiliers ou d’électroménager dans le cas d’une première installation ou d’une installation liée à une rupture familiale.</w:t>
      </w:r>
    </w:p>
    <w:p w14:paraId="50895C1E" w14:textId="77777777" w:rsidR="0077759E" w:rsidRPr="006A7351" w:rsidRDefault="0077759E" w:rsidP="005F5A61">
      <w:pPr>
        <w:pStyle w:val="Titre1"/>
        <w:numPr>
          <w:ilvl w:val="0"/>
          <w:numId w:val="0"/>
        </w:numPr>
      </w:pPr>
      <w:bookmarkStart w:id="3" w:name="_Toc29482541"/>
      <w:r w:rsidRPr="006A7351">
        <w:t xml:space="preserve">Article </w:t>
      </w:r>
      <w:r>
        <w:t>3</w:t>
      </w:r>
      <w:r w:rsidR="00D6303A">
        <w:t xml:space="preserve"> : </w:t>
      </w:r>
      <w:r w:rsidR="00B910FE">
        <w:t>Constitution de la C</w:t>
      </w:r>
      <w:r>
        <w:t>ommission</w:t>
      </w:r>
      <w:bookmarkEnd w:id="3"/>
    </w:p>
    <w:p w14:paraId="409FB860" w14:textId="77777777" w:rsidR="0077759E" w:rsidRPr="006A7351" w:rsidRDefault="0077759E" w:rsidP="00D6303A">
      <w:pPr>
        <w:ind w:left="0"/>
      </w:pPr>
      <w:r w:rsidRPr="006A7351">
        <w:t>Le FCS est géré par une Commission composée comme suit :</w:t>
      </w:r>
    </w:p>
    <w:p w14:paraId="4A711922" w14:textId="77777777" w:rsidR="0077759E" w:rsidRDefault="0077759E" w:rsidP="00D6303A">
      <w:pPr>
        <w:pStyle w:val="Paragraphedeliste1"/>
        <w:numPr>
          <w:ilvl w:val="0"/>
          <w:numId w:val="3"/>
        </w:numPr>
        <w:ind w:left="0" w:firstLine="0"/>
        <w:jc w:val="both"/>
      </w:pPr>
      <w:r>
        <w:t>Un</w:t>
      </w:r>
      <w:r w:rsidRPr="006A7351">
        <w:t xml:space="preserve"> membre du Bureau </w:t>
      </w:r>
      <w:r>
        <w:t xml:space="preserve">de l’AVH désigné par celui-ci qui sera </w:t>
      </w:r>
      <w:r w:rsidR="00A6176E">
        <w:t>le président de la C</w:t>
      </w:r>
      <w:r>
        <w:t>ommission du FCS</w:t>
      </w:r>
      <w:r w:rsidR="003323F4">
        <w:t xml:space="preserve"> ; </w:t>
      </w:r>
    </w:p>
    <w:p w14:paraId="6FDE1A85" w14:textId="77777777" w:rsidR="0077759E" w:rsidRPr="0045170B" w:rsidRDefault="0077759E" w:rsidP="00D6303A">
      <w:pPr>
        <w:pStyle w:val="Paragraphedeliste1"/>
        <w:numPr>
          <w:ilvl w:val="0"/>
          <w:numId w:val="3"/>
        </w:numPr>
        <w:ind w:left="0" w:firstLine="0"/>
        <w:jc w:val="both"/>
      </w:pPr>
      <w:r>
        <w:rPr>
          <w:rFonts w:cs="Times New Roman"/>
        </w:rPr>
        <w:t>D</w:t>
      </w:r>
      <w:r w:rsidRPr="0045170B">
        <w:rPr>
          <w:rFonts w:cs="Times New Roman"/>
        </w:rPr>
        <w:t>eux membres du Conseil d'Administration désignés par celui-ci</w:t>
      </w:r>
      <w:r w:rsidR="003323F4">
        <w:rPr>
          <w:rFonts w:cs="Times New Roman"/>
        </w:rPr>
        <w:t xml:space="preserve"> ; </w:t>
      </w:r>
    </w:p>
    <w:p w14:paraId="36AC531C" w14:textId="77777777" w:rsidR="0077759E" w:rsidRPr="0045170B" w:rsidRDefault="0077759E" w:rsidP="00D6303A">
      <w:pPr>
        <w:pStyle w:val="Paragraphedeliste1"/>
        <w:numPr>
          <w:ilvl w:val="0"/>
          <w:numId w:val="3"/>
        </w:numPr>
        <w:ind w:left="0" w:firstLine="0"/>
        <w:jc w:val="both"/>
      </w:pPr>
      <w:r>
        <w:rPr>
          <w:rFonts w:cs="Times New Roman"/>
        </w:rPr>
        <w:t>D</w:t>
      </w:r>
      <w:r w:rsidRPr="0045170B">
        <w:rPr>
          <w:rFonts w:cs="Times New Roman"/>
        </w:rPr>
        <w:t xml:space="preserve">eux membres appartenant à des Comités régionaux désignés par le Conseil d'Administration sur proposition du </w:t>
      </w:r>
      <w:r>
        <w:rPr>
          <w:rFonts w:cs="Times New Roman"/>
        </w:rPr>
        <w:t xml:space="preserve">vice-président en charge de la coordination des </w:t>
      </w:r>
      <w:r w:rsidRPr="0045170B">
        <w:rPr>
          <w:rFonts w:cs="Times New Roman"/>
        </w:rPr>
        <w:t>Comités</w:t>
      </w:r>
      <w:r w:rsidR="003323F4">
        <w:rPr>
          <w:rFonts w:cs="Times New Roman"/>
        </w:rPr>
        <w:t xml:space="preserve"> ; </w:t>
      </w:r>
    </w:p>
    <w:p w14:paraId="0BFD1724" w14:textId="77777777" w:rsidR="0077759E" w:rsidRDefault="0077759E" w:rsidP="00D6303A">
      <w:pPr>
        <w:pStyle w:val="Paragraphedeliste1"/>
        <w:numPr>
          <w:ilvl w:val="0"/>
          <w:numId w:val="3"/>
        </w:numPr>
        <w:ind w:left="0" w:firstLine="0"/>
        <w:jc w:val="both"/>
      </w:pPr>
      <w:r>
        <w:t>L</w:t>
      </w:r>
      <w:r w:rsidR="00D6303A">
        <w:t>a</w:t>
      </w:r>
      <w:r>
        <w:t xml:space="preserve"> responsable du service social et juridique</w:t>
      </w:r>
      <w:r w:rsidR="003323F4">
        <w:t> ;</w:t>
      </w:r>
    </w:p>
    <w:p w14:paraId="076D7BE0" w14:textId="38EC1FBF" w:rsidR="0077759E" w:rsidRDefault="0077759E" w:rsidP="00D6303A">
      <w:pPr>
        <w:numPr>
          <w:ilvl w:val="0"/>
          <w:numId w:val="3"/>
        </w:numPr>
        <w:ind w:left="0" w:firstLine="0"/>
        <w:jc w:val="both"/>
      </w:pPr>
      <w:r>
        <w:rPr>
          <w:rFonts w:cs="Times New Roman"/>
        </w:rPr>
        <w:t xml:space="preserve">La secrétaire du </w:t>
      </w:r>
      <w:r w:rsidR="00B910FE">
        <w:rPr>
          <w:rFonts w:cs="Times New Roman"/>
        </w:rPr>
        <w:t>s</w:t>
      </w:r>
      <w:r w:rsidRPr="00E43553">
        <w:rPr>
          <w:rFonts w:cs="Times New Roman"/>
        </w:rPr>
        <w:t>ervice social</w:t>
      </w:r>
      <w:r>
        <w:rPr>
          <w:rFonts w:cs="Times New Roman"/>
        </w:rPr>
        <w:t xml:space="preserve"> et juridique</w:t>
      </w:r>
      <w:r w:rsidR="0023404D">
        <w:rPr>
          <w:rFonts w:cs="Times New Roman"/>
        </w:rPr>
        <w:t xml:space="preserve"> désignée</w:t>
      </w:r>
      <w:r w:rsidR="0063255A">
        <w:rPr>
          <w:rFonts w:cs="Times New Roman"/>
        </w:rPr>
        <w:t xml:space="preserve"> en tant que secrétaire de la Commission du FCS</w:t>
      </w:r>
      <w:r w:rsidR="003323F4">
        <w:rPr>
          <w:rFonts w:cs="Times New Roman"/>
        </w:rPr>
        <w:t xml:space="preserve"> ; </w:t>
      </w:r>
    </w:p>
    <w:p w14:paraId="0E35F1E8" w14:textId="77777777" w:rsidR="0077759E" w:rsidRPr="0045170B" w:rsidRDefault="0077759E" w:rsidP="00D6303A">
      <w:pPr>
        <w:pStyle w:val="Paragraphedeliste1"/>
        <w:numPr>
          <w:ilvl w:val="0"/>
          <w:numId w:val="3"/>
        </w:numPr>
        <w:ind w:left="0" w:firstLine="0"/>
        <w:jc w:val="both"/>
      </w:pPr>
      <w:r>
        <w:rPr>
          <w:rFonts w:cs="Times New Roman"/>
        </w:rPr>
        <w:t>U</w:t>
      </w:r>
      <w:r w:rsidRPr="0045170B">
        <w:rPr>
          <w:rFonts w:cs="Times New Roman"/>
        </w:rPr>
        <w:t>n</w:t>
      </w:r>
      <w:r>
        <w:rPr>
          <w:rFonts w:cs="Times New Roman"/>
        </w:rPr>
        <w:t xml:space="preserve"> membre </w:t>
      </w:r>
      <w:r w:rsidRPr="0045170B">
        <w:rPr>
          <w:rFonts w:cs="Times New Roman"/>
        </w:rPr>
        <w:t xml:space="preserve">du service </w:t>
      </w:r>
      <w:r>
        <w:rPr>
          <w:rFonts w:cs="Times New Roman"/>
        </w:rPr>
        <w:t>comptabilité.</w:t>
      </w:r>
    </w:p>
    <w:p w14:paraId="468E073B" w14:textId="26C252BE" w:rsidR="0077759E" w:rsidRDefault="0063255A" w:rsidP="00B071AC">
      <w:pPr>
        <w:ind w:left="0"/>
        <w:jc w:val="both"/>
        <w:rPr>
          <w:rFonts w:cs="Times New Roman"/>
        </w:rPr>
      </w:pPr>
      <w:r>
        <w:rPr>
          <w:rFonts w:cs="Times New Roman"/>
        </w:rPr>
        <w:t>Concernant l</w:t>
      </w:r>
      <w:r w:rsidR="0077759E">
        <w:rPr>
          <w:rFonts w:cs="Times New Roman"/>
        </w:rPr>
        <w:t>es frais de</w:t>
      </w:r>
      <w:r w:rsidR="00A6176E">
        <w:rPr>
          <w:rFonts w:cs="Times New Roman"/>
        </w:rPr>
        <w:t xml:space="preserve"> déplacement </w:t>
      </w:r>
      <w:r w:rsidRPr="0063255A">
        <w:rPr>
          <w:rFonts w:cs="Times New Roman"/>
        </w:rPr>
        <w:t>directement liés au fonctionnement du FCS</w:t>
      </w:r>
      <w:r>
        <w:rPr>
          <w:rFonts w:cs="Times New Roman"/>
        </w:rPr>
        <w:t>, l</w:t>
      </w:r>
      <w:r w:rsidR="00A6176E">
        <w:rPr>
          <w:rFonts w:cs="Times New Roman"/>
        </w:rPr>
        <w:t xml:space="preserve">es membres </w:t>
      </w:r>
      <w:r>
        <w:rPr>
          <w:rFonts w:cs="Times New Roman"/>
        </w:rPr>
        <w:t xml:space="preserve">bénévoles </w:t>
      </w:r>
      <w:r w:rsidR="00A6176E">
        <w:rPr>
          <w:rFonts w:cs="Times New Roman"/>
        </w:rPr>
        <w:t>de la C</w:t>
      </w:r>
      <w:r w:rsidR="0077759E">
        <w:rPr>
          <w:rFonts w:cs="Times New Roman"/>
        </w:rPr>
        <w:t xml:space="preserve">ommission </w:t>
      </w:r>
      <w:r>
        <w:rPr>
          <w:rFonts w:cs="Times New Roman"/>
        </w:rPr>
        <w:t xml:space="preserve">peuvent en demander le remboursement à l’Association ou y renoncer </w:t>
      </w:r>
      <w:r w:rsidR="0064286C">
        <w:rPr>
          <w:rFonts w:cs="Times New Roman"/>
        </w:rPr>
        <w:t>expressément</w:t>
      </w:r>
      <w:r>
        <w:rPr>
          <w:rFonts w:cs="Times New Roman"/>
        </w:rPr>
        <w:t xml:space="preserve"> et bénéficier de la réduction d’impôt prévue à l’article 200 du CGI,</w:t>
      </w:r>
      <w:r w:rsidR="00B03DE7">
        <w:rPr>
          <w:rFonts w:cs="Times New Roman"/>
        </w:rPr>
        <w:t xml:space="preserve"> </w:t>
      </w:r>
      <w:r w:rsidR="0077759E">
        <w:rPr>
          <w:rFonts w:cs="Times New Roman"/>
        </w:rPr>
        <w:t xml:space="preserve">sur présentation de justificatifs. </w:t>
      </w:r>
    </w:p>
    <w:p w14:paraId="51B833E1" w14:textId="77777777" w:rsidR="0077759E" w:rsidRDefault="00B071AC" w:rsidP="00B071AC">
      <w:pPr>
        <w:ind w:left="0"/>
        <w:jc w:val="both"/>
      </w:pPr>
      <w:r>
        <w:t>Les membres de la C</w:t>
      </w:r>
      <w:r w:rsidR="0077759E">
        <w:t>ommission sont tenus à respecter une confidentialité absolue sur les documents qui leur sont communiqués en vue de l’analyse d’un dossier. En particulier, ils ne doivent faire sous aucun prétexte de copie de ces documents.</w:t>
      </w:r>
    </w:p>
    <w:p w14:paraId="22AB2997" w14:textId="77777777" w:rsidR="0077759E" w:rsidRPr="006A7351" w:rsidRDefault="0077759E" w:rsidP="005F5A61">
      <w:pPr>
        <w:pStyle w:val="Titre1"/>
        <w:numPr>
          <w:ilvl w:val="0"/>
          <w:numId w:val="0"/>
        </w:numPr>
        <w:ind w:left="432" w:hanging="432"/>
      </w:pPr>
      <w:bookmarkStart w:id="4" w:name="_Toc29482542"/>
      <w:bookmarkStart w:id="5" w:name="_GoBack"/>
      <w:bookmarkEnd w:id="5"/>
      <w:r w:rsidRPr="006A7351">
        <w:lastRenderedPageBreak/>
        <w:t xml:space="preserve">Article </w:t>
      </w:r>
      <w:r>
        <w:t>4</w:t>
      </w:r>
      <w:r w:rsidR="00B071AC">
        <w:t> : Fonctionnement de la C</w:t>
      </w:r>
      <w:r>
        <w:t>ommission</w:t>
      </w:r>
      <w:bookmarkEnd w:id="4"/>
      <w:r>
        <w:t xml:space="preserve"> </w:t>
      </w:r>
    </w:p>
    <w:p w14:paraId="1B673A15" w14:textId="77777777" w:rsidR="0077759E" w:rsidRPr="006A7351" w:rsidRDefault="0077759E" w:rsidP="00B071AC">
      <w:pPr>
        <w:ind w:left="0"/>
        <w:jc w:val="both"/>
      </w:pPr>
      <w:r w:rsidRPr="006A7351">
        <w:t>La Commission se réunit au moins quatre fois dans l'année</w:t>
      </w:r>
      <w:r>
        <w:t>, de préférence en présentiel</w:t>
      </w:r>
      <w:r w:rsidRPr="006A7351">
        <w:t>.</w:t>
      </w:r>
      <w:r w:rsidR="00B071AC">
        <w:t xml:space="preserve"> Les dates de ces q</w:t>
      </w:r>
      <w:r>
        <w:t>uatre réunions sont fixées en décembre pour l’année à venir ; de plus, en cas de décision urgente à prendre sur un dossier, des réunions ponctuelles peuvent être organisées, éventuellement par téléphone ou téléconférence. Au moins</w:t>
      </w:r>
      <w:r w:rsidR="00B071AC">
        <w:t>, cinq membres de la C</w:t>
      </w:r>
      <w:r>
        <w:t>ommission doivent être présents pour que les décisions soient valides.</w:t>
      </w:r>
    </w:p>
    <w:p w14:paraId="622C0241" w14:textId="77777777" w:rsidR="002A53A4" w:rsidRDefault="0077759E" w:rsidP="00B071AC">
      <w:pPr>
        <w:ind w:left="0"/>
        <w:jc w:val="both"/>
      </w:pPr>
      <w:r w:rsidRPr="006A7351">
        <w:t xml:space="preserve">Les décisions sont prises à la majorité simple. En cas d'égalité des voix, celle </w:t>
      </w:r>
      <w:r>
        <w:t xml:space="preserve">du Président </w:t>
      </w:r>
      <w:r w:rsidR="00B071AC">
        <w:t>de la C</w:t>
      </w:r>
      <w:r w:rsidR="00A26488">
        <w:t xml:space="preserve">ommission </w:t>
      </w:r>
      <w:r>
        <w:t>est prépondérante.</w:t>
      </w:r>
      <w:r w:rsidR="002A53A4">
        <w:t xml:space="preserve"> </w:t>
      </w:r>
    </w:p>
    <w:p w14:paraId="4D5F7485" w14:textId="77777777" w:rsidR="0077759E" w:rsidRDefault="0077759E" w:rsidP="005F5A61">
      <w:pPr>
        <w:pStyle w:val="Titre1"/>
        <w:numPr>
          <w:ilvl w:val="0"/>
          <w:numId w:val="0"/>
        </w:numPr>
        <w:ind w:left="432" w:hanging="432"/>
      </w:pPr>
      <w:bookmarkStart w:id="6" w:name="_Toc29482543"/>
      <w:r w:rsidRPr="006A7351">
        <w:t xml:space="preserve">Article </w:t>
      </w:r>
      <w:r>
        <w:t>5</w:t>
      </w:r>
      <w:r w:rsidR="00CD2124">
        <w:t xml:space="preserve"> : </w:t>
      </w:r>
      <w:r w:rsidR="00DC2E3A">
        <w:t>Fonds de réserve du FCS</w:t>
      </w:r>
      <w:bookmarkEnd w:id="6"/>
    </w:p>
    <w:p w14:paraId="6205E449" w14:textId="77777777" w:rsidR="0077759E" w:rsidRDefault="0077759E" w:rsidP="00CD2124">
      <w:pPr>
        <w:ind w:left="0"/>
        <w:jc w:val="both"/>
      </w:pPr>
      <w:r w:rsidRPr="00DF3119">
        <w:t xml:space="preserve">Le montant minimum des réserves du FCS est fixé à </w:t>
      </w:r>
      <w:r>
        <w:t>10</w:t>
      </w:r>
      <w:r w:rsidRPr="00DF3119">
        <w:t xml:space="preserve">0 k€. Il peut être révisé chaque année </w:t>
      </w:r>
      <w:r>
        <w:t xml:space="preserve">par </w:t>
      </w:r>
      <w:r w:rsidRPr="00DF3119">
        <w:t>le Bureau de l'AVH sur</w:t>
      </w:r>
      <w:r w:rsidR="00CD2124">
        <w:t xml:space="preserve"> proposition de la Commission.</w:t>
      </w:r>
    </w:p>
    <w:p w14:paraId="1713B9C9" w14:textId="77777777" w:rsidR="0077759E" w:rsidRPr="006A7351" w:rsidRDefault="0077759E" w:rsidP="00CD2124">
      <w:pPr>
        <w:ind w:left="0"/>
        <w:jc w:val="both"/>
      </w:pPr>
      <w:r w:rsidRPr="006A7351">
        <w:t xml:space="preserve">A la clôture de </w:t>
      </w:r>
      <w:r>
        <w:t xml:space="preserve">chaque </w:t>
      </w:r>
      <w:r w:rsidRPr="006A7351">
        <w:t xml:space="preserve">exercice, le fonds est diminué du montant des </w:t>
      </w:r>
      <w:r w:rsidR="00D92BB1">
        <w:t xml:space="preserve">aides d'urgence non remboursables </w:t>
      </w:r>
      <w:r w:rsidR="002A53A4">
        <w:t xml:space="preserve">et des </w:t>
      </w:r>
      <w:r w:rsidRPr="006A7351">
        <w:t>créances jugées irrécouvrables par l</w:t>
      </w:r>
      <w:r>
        <w:t>e</w:t>
      </w:r>
      <w:r w:rsidRPr="006A7351">
        <w:t xml:space="preserve"> </w:t>
      </w:r>
      <w:r>
        <w:t xml:space="preserve">service </w:t>
      </w:r>
      <w:r w:rsidRPr="006A7351">
        <w:t>comptabilité.</w:t>
      </w:r>
    </w:p>
    <w:p w14:paraId="6ACB11C2" w14:textId="77777777" w:rsidR="0077759E" w:rsidRDefault="00CD2124" w:rsidP="00CD2124">
      <w:pPr>
        <w:ind w:left="0"/>
        <w:jc w:val="both"/>
      </w:pPr>
      <w:r>
        <w:t>Un rapport d’activité d</w:t>
      </w:r>
      <w:r w:rsidR="0077759E">
        <w:t>u FCS pour l’année écoulée et les orientations pour l’an</w:t>
      </w:r>
      <w:r>
        <w:t>née à venir est préparé par la C</w:t>
      </w:r>
      <w:r w:rsidR="0077759E">
        <w:t xml:space="preserve">ommission et est présenté au </w:t>
      </w:r>
      <w:r w:rsidR="0077759E" w:rsidRPr="00EF7E5E">
        <w:t>Bureau de l'AVH</w:t>
      </w:r>
      <w:r w:rsidR="0077759E">
        <w:t xml:space="preserve"> lors de sa réunion de janvier.</w:t>
      </w:r>
    </w:p>
    <w:p w14:paraId="0B753318" w14:textId="07ED099C" w:rsidR="0077759E" w:rsidRDefault="00C42AE5" w:rsidP="00CD2124">
      <w:pPr>
        <w:ind w:left="0"/>
        <w:jc w:val="both"/>
      </w:pPr>
      <w:r>
        <w:t xml:space="preserve">S’il est constaté que la réserve est inférieure au montant minimal fixé, le </w:t>
      </w:r>
      <w:r w:rsidR="0077759E">
        <w:t>rapport</w:t>
      </w:r>
      <w:r>
        <w:t xml:space="preserve"> d’activité du FCS demandera au siège d’abonder cette réserve jusqu’à atteindre le montant minimal fixé.</w:t>
      </w:r>
      <w:r w:rsidR="0077759E">
        <w:t xml:space="preserve"> </w:t>
      </w:r>
      <w:r>
        <w:t>C</w:t>
      </w:r>
      <w:r w:rsidR="0077759E">
        <w:t>ette décision ser</w:t>
      </w:r>
      <w:r w:rsidR="00A50201">
        <w:t>a soumise à l’approbation de l’Assemblée G</w:t>
      </w:r>
      <w:r w:rsidR="0077759E">
        <w:t>énérale.</w:t>
      </w:r>
    </w:p>
    <w:p w14:paraId="2A35DDB0" w14:textId="77777777" w:rsidR="0077759E" w:rsidRDefault="0077759E" w:rsidP="005F5A61">
      <w:pPr>
        <w:pStyle w:val="Titre1"/>
        <w:numPr>
          <w:ilvl w:val="0"/>
          <w:numId w:val="0"/>
        </w:numPr>
        <w:ind w:left="432" w:hanging="432"/>
      </w:pPr>
      <w:bookmarkStart w:id="7" w:name="_Toc29482544"/>
      <w:r w:rsidRPr="006A7351">
        <w:t xml:space="preserve">Article </w:t>
      </w:r>
      <w:r>
        <w:t>6</w:t>
      </w:r>
      <w:r w:rsidR="00DC2E3A">
        <w:t xml:space="preserve"> : </w:t>
      </w:r>
      <w:r>
        <w:t>Montants des</w:t>
      </w:r>
      <w:r w:rsidR="00DC2E3A">
        <w:t xml:space="preserve"> aides</w:t>
      </w:r>
      <w:bookmarkEnd w:id="7"/>
    </w:p>
    <w:p w14:paraId="6F8664BA" w14:textId="74033E2C" w:rsidR="0077759E" w:rsidRDefault="0077759E" w:rsidP="00DC2E3A">
      <w:pPr>
        <w:ind w:left="0"/>
        <w:jc w:val="both"/>
      </w:pPr>
      <w:r>
        <w:t xml:space="preserve">Que ce soit pour un prêt ou une aide non remboursable, les montants minimum et maximum sont, respectivement, de </w:t>
      </w:r>
      <w:r w:rsidR="001F6DC1" w:rsidRPr="009B18AA">
        <w:t>300</w:t>
      </w:r>
      <w:r w:rsidRPr="009B18AA">
        <w:t xml:space="preserve"> </w:t>
      </w:r>
      <w:r w:rsidR="00107A0C" w:rsidRPr="009B18AA">
        <w:t xml:space="preserve">(Trois cents) </w:t>
      </w:r>
      <w:r w:rsidRPr="009B18AA">
        <w:t>€</w:t>
      </w:r>
      <w:r w:rsidR="001F6DC1" w:rsidRPr="009B18AA">
        <w:t xml:space="preserve"> </w:t>
      </w:r>
      <w:r>
        <w:t>et 4</w:t>
      </w:r>
      <w:r w:rsidR="00DC2E3A">
        <w:t xml:space="preserve"> </w:t>
      </w:r>
      <w:r>
        <w:t xml:space="preserve">000 </w:t>
      </w:r>
      <w:r w:rsidR="00107A0C">
        <w:t xml:space="preserve">(Quatre mille) </w:t>
      </w:r>
      <w:r>
        <w:t>€.</w:t>
      </w:r>
    </w:p>
    <w:p w14:paraId="5409E728" w14:textId="77777777" w:rsidR="004F0BB3" w:rsidRDefault="0077759E" w:rsidP="00DC2E3A">
      <w:pPr>
        <w:ind w:left="0"/>
        <w:jc w:val="both"/>
      </w:pPr>
      <w:r>
        <w:t>La durée maximale du remboursement du prêt est de 48 (quarante-huit) mois</w:t>
      </w:r>
      <w:r w:rsidR="004F0BB3">
        <w:t xml:space="preserve">. </w:t>
      </w:r>
    </w:p>
    <w:p w14:paraId="45E27C19" w14:textId="54E7B8F1" w:rsidR="004F0BB3" w:rsidRPr="009B18AA" w:rsidRDefault="004F0BB3" w:rsidP="009B18AA">
      <w:pPr>
        <w:pStyle w:val="Paragraphedeliste"/>
        <w:ind w:left="0"/>
        <w:jc w:val="both"/>
      </w:pPr>
      <w:r w:rsidRPr="009B18AA">
        <w:lastRenderedPageBreak/>
        <w:t xml:space="preserve">Cependant, pour les emprunts compris entre 300 (Trois cents) € et </w:t>
      </w:r>
      <w:r w:rsidR="00691855" w:rsidRPr="009B18AA">
        <w:t xml:space="preserve">1000 </w:t>
      </w:r>
      <w:r w:rsidRPr="009B18AA">
        <w:t>(</w:t>
      </w:r>
      <w:r w:rsidR="00691855" w:rsidRPr="009B18AA">
        <w:t>Mille</w:t>
      </w:r>
      <w:r w:rsidRPr="009B18AA">
        <w:t>) €, la durée des remboursement</w:t>
      </w:r>
      <w:r w:rsidR="006E3D49" w:rsidRPr="009B18AA">
        <w:t>s</w:t>
      </w:r>
      <w:r w:rsidRPr="009B18AA">
        <w:t xml:space="preserve"> ne </w:t>
      </w:r>
      <w:r w:rsidR="00107A0C" w:rsidRPr="009B18AA">
        <w:t xml:space="preserve">peut </w:t>
      </w:r>
      <w:r w:rsidRPr="009B18AA">
        <w:t>pas dépasser 2</w:t>
      </w:r>
      <w:r w:rsidR="00691855" w:rsidRPr="009B18AA">
        <w:t>4</w:t>
      </w:r>
      <w:r w:rsidRPr="009B18AA">
        <w:t xml:space="preserve"> (</w:t>
      </w:r>
      <w:r w:rsidR="009B18AA" w:rsidRPr="009B18AA">
        <w:t>Vingt-quatre</w:t>
      </w:r>
      <w:r w:rsidRPr="009B18AA">
        <w:t xml:space="preserve">) mois.  </w:t>
      </w:r>
    </w:p>
    <w:p w14:paraId="11D331D4" w14:textId="477368B0" w:rsidR="0077759E" w:rsidRPr="009B18AA" w:rsidRDefault="00A61B67" w:rsidP="00DC2E3A">
      <w:pPr>
        <w:ind w:left="0"/>
        <w:jc w:val="both"/>
      </w:pPr>
      <w:r>
        <w:t>L</w:t>
      </w:r>
      <w:r w:rsidR="0077759E">
        <w:t xml:space="preserve">e remboursement mensuel ne </w:t>
      </w:r>
      <w:r w:rsidR="00107A0C" w:rsidRPr="009B18AA">
        <w:t xml:space="preserve">peut pas </w:t>
      </w:r>
      <w:r w:rsidR="0077759E">
        <w:t xml:space="preserve">être inférieur </w:t>
      </w:r>
      <w:r w:rsidR="0077759E" w:rsidRPr="009B18AA">
        <w:t xml:space="preserve">à </w:t>
      </w:r>
      <w:r w:rsidR="001F6DC1" w:rsidRPr="009B18AA">
        <w:t>25</w:t>
      </w:r>
      <w:r w:rsidR="004F0BB3" w:rsidRPr="009B18AA">
        <w:t xml:space="preserve"> </w:t>
      </w:r>
      <w:r w:rsidR="0077759E" w:rsidRPr="009B18AA">
        <w:t>(</w:t>
      </w:r>
      <w:r w:rsidR="009B18AA" w:rsidRPr="009B18AA">
        <w:t>Vingt-cinq</w:t>
      </w:r>
      <w:r w:rsidR="00DC2E3A" w:rsidRPr="009B18AA">
        <w:t xml:space="preserve">) </w:t>
      </w:r>
      <w:r w:rsidR="0077759E" w:rsidRPr="009B18AA">
        <w:t>€.</w:t>
      </w:r>
    </w:p>
    <w:p w14:paraId="30A5A580" w14:textId="77777777" w:rsidR="004F0BB3" w:rsidRDefault="004F0BB3" w:rsidP="00DC2E3A">
      <w:pPr>
        <w:ind w:left="0"/>
        <w:jc w:val="both"/>
      </w:pPr>
    </w:p>
    <w:p w14:paraId="0D77800D" w14:textId="6E7CB222" w:rsidR="00995F66" w:rsidRDefault="0077759E" w:rsidP="00DC2E3A">
      <w:pPr>
        <w:ind w:left="0"/>
        <w:jc w:val="both"/>
      </w:pPr>
      <w:r>
        <w:t>L’apport personnel du demandeur doit être au minimum de 10 (dix) % de l’achat envisagé.</w:t>
      </w:r>
    </w:p>
    <w:p w14:paraId="3C783316" w14:textId="77777777" w:rsidR="0077759E" w:rsidRPr="006A7351" w:rsidRDefault="0077759E" w:rsidP="005F5A61">
      <w:pPr>
        <w:pStyle w:val="Titre1"/>
        <w:numPr>
          <w:ilvl w:val="0"/>
          <w:numId w:val="0"/>
        </w:numPr>
        <w:ind w:left="432" w:hanging="432"/>
      </w:pPr>
      <w:bookmarkStart w:id="8" w:name="_Toc29482545"/>
      <w:r w:rsidRPr="006A7351">
        <w:t xml:space="preserve">Article </w:t>
      </w:r>
      <w:r>
        <w:t>7</w:t>
      </w:r>
      <w:r w:rsidR="00DC2E3A">
        <w:t xml:space="preserve"> : </w:t>
      </w:r>
      <w:r w:rsidR="00A50201">
        <w:t>Dossier de demande</w:t>
      </w:r>
      <w:bookmarkEnd w:id="8"/>
    </w:p>
    <w:p w14:paraId="6A4CADF4" w14:textId="3183F9D6" w:rsidR="0077759E" w:rsidRDefault="0077759E" w:rsidP="00070CA7">
      <w:pPr>
        <w:ind w:left="0"/>
        <w:jc w:val="both"/>
      </w:pPr>
      <w:r w:rsidRPr="006A7351">
        <w:t xml:space="preserve">La demande de prêt et/ou d'aide non remboursable est établie à l'aide du formulaire </w:t>
      </w:r>
      <w:r w:rsidR="00070CA7">
        <w:t>rédigé par la C</w:t>
      </w:r>
      <w:r>
        <w:t xml:space="preserve">ommission ; elle doit être accompagnée des </w:t>
      </w:r>
      <w:r w:rsidRPr="006A7351">
        <w:t>pièces à fournir</w:t>
      </w:r>
      <w:r>
        <w:t xml:space="preserve"> pour étaye</w:t>
      </w:r>
      <w:r w:rsidR="00070CA7">
        <w:t>r cette demande, en particulier</w:t>
      </w:r>
      <w:r>
        <w:t xml:space="preserve"> de devis d’un ou plusieurs fournisseurs surtout pour les aides techniques.</w:t>
      </w:r>
    </w:p>
    <w:p w14:paraId="38CA5556" w14:textId="2F97A60D" w:rsidR="00107A0C" w:rsidRPr="009B18AA" w:rsidRDefault="009B18AA" w:rsidP="00070CA7">
      <w:pPr>
        <w:ind w:left="0"/>
        <w:jc w:val="both"/>
      </w:pPr>
      <w:r>
        <w:t>P</w:t>
      </w:r>
      <w:r w:rsidR="00107A0C" w:rsidRPr="009B18AA">
        <w:t xml:space="preserve">our les emprunts compris entre 300 (Trois cents) € et 1000 (Mille) €, la demande de prêt est établie à l'aide du formulaire simplifié. </w:t>
      </w:r>
    </w:p>
    <w:p w14:paraId="1ABA571D" w14:textId="77777777" w:rsidR="0077759E" w:rsidRDefault="0077759E" w:rsidP="00070CA7">
      <w:pPr>
        <w:ind w:left="0"/>
        <w:jc w:val="both"/>
      </w:pPr>
      <w:r>
        <w:t>Si le demandeur est mineur ou sous tutelle ou curatelle, cette demande doit être faite par son représentant légal (parent ou tuteur).</w:t>
      </w:r>
    </w:p>
    <w:p w14:paraId="79ACB578" w14:textId="77777777" w:rsidR="0077759E" w:rsidRPr="006A7351" w:rsidRDefault="0077759E" w:rsidP="00070CA7">
      <w:pPr>
        <w:ind w:left="0"/>
        <w:jc w:val="both"/>
      </w:pPr>
      <w:r w:rsidRPr="006A7351">
        <w:t>Elle est adressée au secrétariat de la Commission qui vérifie la recevabilité du dossier au regard des pièces à fournir.</w:t>
      </w:r>
    </w:p>
    <w:p w14:paraId="71BAB6CD" w14:textId="08882CEF" w:rsidR="0077759E" w:rsidRDefault="0077759E" w:rsidP="00070CA7">
      <w:pPr>
        <w:ind w:left="0"/>
        <w:jc w:val="both"/>
      </w:pPr>
      <w:r w:rsidRPr="006A7351">
        <w:t xml:space="preserve">La décision de la Commission est </w:t>
      </w:r>
      <w:r>
        <w:t>signifiée par écrit au demandeur. En cas de rejet de la demande, aucun</w:t>
      </w:r>
      <w:r w:rsidR="001F3ECC">
        <w:t xml:space="preserve"> recours </w:t>
      </w:r>
      <w:r>
        <w:t>n’est possible.</w:t>
      </w:r>
    </w:p>
    <w:p w14:paraId="2303BA34" w14:textId="77777777" w:rsidR="0077759E" w:rsidRDefault="0077759E" w:rsidP="00070CA7">
      <w:pPr>
        <w:ind w:left="0"/>
        <w:jc w:val="both"/>
      </w:pPr>
      <w:r>
        <w:t>Pour chaque prêt accordé, la Commission fixe le calendrier des remboursements en fonction des éléments et de la proposition indiqués par l'emprunteur.</w:t>
      </w:r>
    </w:p>
    <w:p w14:paraId="610B2DBD" w14:textId="77777777" w:rsidR="0077759E" w:rsidRPr="006A7351" w:rsidRDefault="0077759E" w:rsidP="005F5A61">
      <w:pPr>
        <w:pStyle w:val="Titre1"/>
        <w:numPr>
          <w:ilvl w:val="0"/>
          <w:numId w:val="0"/>
        </w:numPr>
      </w:pPr>
      <w:bookmarkStart w:id="9" w:name="_Toc29482546"/>
      <w:r w:rsidRPr="006A7351">
        <w:t>Article 8</w:t>
      </w:r>
      <w:r w:rsidR="00070CA7">
        <w:t> : Formalisation de l’aide</w:t>
      </w:r>
      <w:bookmarkEnd w:id="9"/>
    </w:p>
    <w:p w14:paraId="04E68521" w14:textId="1EDABFFC" w:rsidR="0077759E" w:rsidRPr="006A7351" w:rsidRDefault="0077759E" w:rsidP="00B643AA">
      <w:pPr>
        <w:ind w:left="0"/>
        <w:jc w:val="both"/>
      </w:pPr>
      <w:r w:rsidRPr="006A7351">
        <w:t>Tout prêt fait l'objet d'un contrat entre l</w:t>
      </w:r>
      <w:r w:rsidR="00F07DBC">
        <w:t>'emprunteur, le trésorier de l'a</w:t>
      </w:r>
      <w:r w:rsidRPr="006A7351">
        <w:t xml:space="preserve">ssociation ou son représentant et, le cas échéant, un représentant du Comité </w:t>
      </w:r>
      <w:bookmarkStart w:id="10" w:name="OLE_LINK8"/>
      <w:r w:rsidR="00107A0C" w:rsidRPr="009B18AA">
        <w:t xml:space="preserve">départemental ou local </w:t>
      </w:r>
      <w:bookmarkEnd w:id="10"/>
      <w:r w:rsidRPr="006A7351">
        <w:t>concerné.</w:t>
      </w:r>
    </w:p>
    <w:p w14:paraId="1A8DF1D2" w14:textId="1F431818" w:rsidR="0077759E" w:rsidRPr="006A7351" w:rsidRDefault="0077759E" w:rsidP="00B643AA">
      <w:pPr>
        <w:ind w:left="0"/>
        <w:jc w:val="both"/>
      </w:pPr>
      <w:r w:rsidRPr="006A7351">
        <w:lastRenderedPageBreak/>
        <w:t>Lorsque le demandeur réside dans le ressort territorial d'un Comité</w:t>
      </w:r>
      <w:r w:rsidR="00FF5382">
        <w:t xml:space="preserve"> </w:t>
      </w:r>
      <w:r w:rsidR="00114E6D" w:rsidRPr="009B18AA">
        <w:t>départemental ou local</w:t>
      </w:r>
      <w:r w:rsidRPr="006A7351">
        <w:t xml:space="preserve">, ce dernier est l'intermédiaire </w:t>
      </w:r>
      <w:r>
        <w:t xml:space="preserve">à </w:t>
      </w:r>
      <w:r w:rsidRPr="006A7351">
        <w:t>privilégi</w:t>
      </w:r>
      <w:r>
        <w:t>er</w:t>
      </w:r>
      <w:r w:rsidRPr="006A7351">
        <w:t xml:space="preserve"> entre le demandeur et la Commission. Il aidera le demandeur à constituer le dossier et le transmettra après </w:t>
      </w:r>
      <w:r>
        <w:t xml:space="preserve">consolidation </w:t>
      </w:r>
      <w:r w:rsidRPr="006A7351">
        <w:t>à la Commission.</w:t>
      </w:r>
    </w:p>
    <w:p w14:paraId="5282CCEB" w14:textId="77777777" w:rsidR="0077759E" w:rsidRPr="006A7351" w:rsidRDefault="0077759E" w:rsidP="00B643AA">
      <w:pPr>
        <w:ind w:left="0"/>
        <w:jc w:val="both"/>
      </w:pPr>
      <w:r w:rsidRPr="006A7351">
        <w:t>L'ordre de paiement est adressé au fournisseur ou à l'organisme désigné sur le formulaire de demande</w:t>
      </w:r>
      <w:r>
        <w:t xml:space="preserve"> et</w:t>
      </w:r>
      <w:r w:rsidR="00B643AA">
        <w:t>,</w:t>
      </w:r>
      <w:r>
        <w:t xml:space="preserve"> en aucun cas</w:t>
      </w:r>
      <w:r w:rsidR="00B643AA">
        <w:t>,</w:t>
      </w:r>
      <w:r>
        <w:t xml:space="preserve"> au demandeur lui-même ou à son représentant légal</w:t>
      </w:r>
      <w:r w:rsidRPr="006A7351">
        <w:t>.</w:t>
      </w:r>
    </w:p>
    <w:p w14:paraId="7EFC4615" w14:textId="77777777" w:rsidR="0077759E" w:rsidRPr="006A7351" w:rsidRDefault="0077759E" w:rsidP="00B643AA">
      <w:pPr>
        <w:ind w:left="0"/>
        <w:jc w:val="both"/>
      </w:pPr>
      <w:r w:rsidRPr="006A7351">
        <w:t xml:space="preserve">Lorsque l'emprunteur est marié ou pacsé, les deux </w:t>
      </w:r>
      <w:r>
        <w:t xml:space="preserve">conjoints ou </w:t>
      </w:r>
      <w:r w:rsidRPr="006A7351">
        <w:t xml:space="preserve">partenaires doivent signer le contrat et s'engager solidairement. </w:t>
      </w:r>
    </w:p>
    <w:p w14:paraId="03D03E20" w14:textId="19542C1F" w:rsidR="00995F66" w:rsidRDefault="0077759E" w:rsidP="00B643AA">
      <w:pPr>
        <w:ind w:left="0"/>
        <w:jc w:val="both"/>
      </w:pPr>
      <w:r>
        <w:t>Enfin, il</w:t>
      </w:r>
      <w:r w:rsidRPr="006A7351">
        <w:t xml:space="preserve"> peut être demandé à l'emprunteur, à titre de garantie, d'apporter l'engagement d'un tiers en tant que caution solidaire pour le</w:t>
      </w:r>
      <w:r w:rsidR="0052134A">
        <w:t xml:space="preserve"> remboursement du prêt.</w:t>
      </w:r>
    </w:p>
    <w:p w14:paraId="66EC10B6" w14:textId="77777777" w:rsidR="0077759E" w:rsidRPr="006A7351" w:rsidRDefault="0077759E" w:rsidP="005F5A61">
      <w:pPr>
        <w:pStyle w:val="Titre1"/>
        <w:numPr>
          <w:ilvl w:val="0"/>
          <w:numId w:val="0"/>
        </w:numPr>
        <w:ind w:left="432" w:hanging="432"/>
      </w:pPr>
      <w:bookmarkStart w:id="11" w:name="_Toc29482547"/>
      <w:r w:rsidRPr="006A7351">
        <w:t>Article 9</w:t>
      </w:r>
      <w:r w:rsidR="00B643AA">
        <w:t> : Remboursements d’un prêt</w:t>
      </w:r>
      <w:bookmarkEnd w:id="11"/>
    </w:p>
    <w:p w14:paraId="094A1413" w14:textId="77777777" w:rsidR="0077759E" w:rsidRPr="006A7351" w:rsidRDefault="0077759E" w:rsidP="00B643AA">
      <w:pPr>
        <w:ind w:left="0"/>
        <w:jc w:val="both"/>
      </w:pPr>
      <w:r w:rsidRPr="006A7351">
        <w:t xml:space="preserve">Les remboursements sont mensuels. Ils font l'objet de prélèvements aux </w:t>
      </w:r>
      <w:r>
        <w:t xml:space="preserve">30 de chaque mois </w:t>
      </w:r>
      <w:r w:rsidRPr="006A7351">
        <w:t>sur le compte bancaire, postal ou de Caisse d'Epargne dont l'emprunteur est titulaire.</w:t>
      </w:r>
    </w:p>
    <w:p w14:paraId="79F0DD56" w14:textId="77777777" w:rsidR="0077759E" w:rsidRPr="006A7351" w:rsidRDefault="0077759E" w:rsidP="00B643AA">
      <w:pPr>
        <w:ind w:left="0"/>
        <w:jc w:val="both"/>
      </w:pPr>
      <w:r>
        <w:t>S</w:t>
      </w:r>
      <w:r w:rsidRPr="006A7351">
        <w:t>i l'emprunteur rencontre des difficultés</w:t>
      </w:r>
      <w:r>
        <w:t xml:space="preserve"> financières pour honorer ses remboursements</w:t>
      </w:r>
      <w:r w:rsidRPr="006A7351">
        <w:t xml:space="preserve">, il est tenu d'en informer immédiatement le secrétariat de la Commission afin que puisse être envisagée une renégociation du contrat. </w:t>
      </w:r>
    </w:p>
    <w:p w14:paraId="2868348A" w14:textId="77777777" w:rsidR="0077759E" w:rsidRPr="006A7351" w:rsidRDefault="0077759E" w:rsidP="00B643AA">
      <w:pPr>
        <w:ind w:left="0"/>
        <w:jc w:val="both"/>
      </w:pPr>
      <w:r>
        <w:t xml:space="preserve">Un </w:t>
      </w:r>
      <w:r w:rsidRPr="006A7351">
        <w:t>prêt peut faire l'objet d'un avenant résultant d'un accord intervenu entre l'emprunteur et la Commission.</w:t>
      </w:r>
    </w:p>
    <w:p w14:paraId="40B45532" w14:textId="77777777" w:rsidR="0077759E" w:rsidRPr="006A7351" w:rsidRDefault="0077759E" w:rsidP="00B643AA">
      <w:pPr>
        <w:ind w:left="0"/>
        <w:jc w:val="both"/>
      </w:pPr>
      <w:r w:rsidRPr="006A7351">
        <w:t xml:space="preserve">Il appartient à la Commission de décider </w:t>
      </w:r>
      <w:r>
        <w:t>des aménagements à apporter au contrat initial, par exemple :</w:t>
      </w:r>
    </w:p>
    <w:p w14:paraId="61352871" w14:textId="77777777" w:rsidR="0077759E" w:rsidRDefault="0077759E" w:rsidP="00B643AA">
      <w:pPr>
        <w:pStyle w:val="Paragraphedeliste1"/>
        <w:numPr>
          <w:ilvl w:val="0"/>
          <w:numId w:val="4"/>
        </w:numPr>
        <w:ind w:left="0" w:firstLine="0"/>
        <w:jc w:val="both"/>
      </w:pPr>
      <w:r w:rsidRPr="006A7351">
        <w:t>Report d'une ou de plusieurs échéances mensuelles</w:t>
      </w:r>
    </w:p>
    <w:p w14:paraId="4F5D699E" w14:textId="77777777" w:rsidR="0077759E" w:rsidRPr="00EF7E5E" w:rsidRDefault="002B42E3" w:rsidP="00B643AA">
      <w:pPr>
        <w:pStyle w:val="Paragraphedeliste1"/>
        <w:numPr>
          <w:ilvl w:val="0"/>
          <w:numId w:val="4"/>
        </w:numPr>
        <w:ind w:left="0" w:firstLine="0"/>
        <w:jc w:val="both"/>
      </w:pPr>
      <w:r>
        <w:rPr>
          <w:rFonts w:cs="Times New Roman"/>
        </w:rPr>
        <w:t>Redéfinition de l’échéancier des remboursements sur une durée plus longue</w:t>
      </w:r>
    </w:p>
    <w:p w14:paraId="4DA9A1D2" w14:textId="77777777" w:rsidR="0077759E" w:rsidRPr="0089402B" w:rsidRDefault="0077759E" w:rsidP="00B643AA">
      <w:pPr>
        <w:pStyle w:val="Paragraphedeliste1"/>
        <w:numPr>
          <w:ilvl w:val="0"/>
          <w:numId w:val="4"/>
        </w:numPr>
        <w:ind w:left="0" w:firstLine="0"/>
        <w:jc w:val="both"/>
      </w:pPr>
      <w:r w:rsidRPr="00EF7E5E">
        <w:rPr>
          <w:rFonts w:cs="Times New Roman"/>
        </w:rPr>
        <w:t xml:space="preserve">Remise partielle de dette portant sur </w:t>
      </w:r>
      <w:r>
        <w:rPr>
          <w:rFonts w:cs="Times New Roman"/>
        </w:rPr>
        <w:t xml:space="preserve">maximum six </w:t>
      </w:r>
      <w:r w:rsidR="001002D3">
        <w:rPr>
          <w:rFonts w:cs="Times New Roman"/>
        </w:rPr>
        <w:t>échéances mensuelles</w:t>
      </w:r>
    </w:p>
    <w:p w14:paraId="7FB1E3CE" w14:textId="77777777" w:rsidR="00895B51" w:rsidRDefault="0077759E" w:rsidP="00B643AA">
      <w:pPr>
        <w:pStyle w:val="Paragraphedeliste1"/>
        <w:numPr>
          <w:ilvl w:val="0"/>
          <w:numId w:val="4"/>
        </w:numPr>
        <w:ind w:left="0" w:firstLine="0"/>
        <w:jc w:val="both"/>
      </w:pPr>
      <w:r>
        <w:t xml:space="preserve">De même, si une aide financière est accordée après le démarrage du prêt, </w:t>
      </w:r>
      <w:r w:rsidR="009569F9">
        <w:t>attribution d'</w:t>
      </w:r>
      <w:r>
        <w:t>une PCH</w:t>
      </w:r>
      <w:r w:rsidR="009569F9">
        <w:t xml:space="preserve"> pour aides techniques</w:t>
      </w:r>
      <w:r w:rsidR="00A26488">
        <w:t xml:space="preserve"> par exemple</w:t>
      </w:r>
      <w:r>
        <w:t xml:space="preserve">, </w:t>
      </w:r>
      <w:r>
        <w:lastRenderedPageBreak/>
        <w:t>l’emprunteur s’engage à en informer le FCS qui pourra alors redéfinir l’échéancier et le montant des remboursements.</w:t>
      </w:r>
    </w:p>
    <w:p w14:paraId="667D52F7" w14:textId="77777777" w:rsidR="0077759E" w:rsidRPr="006A7351" w:rsidRDefault="0077759E" w:rsidP="005F5A61">
      <w:pPr>
        <w:pStyle w:val="Titre1"/>
        <w:numPr>
          <w:ilvl w:val="0"/>
          <w:numId w:val="0"/>
        </w:numPr>
        <w:ind w:left="432" w:hanging="432"/>
      </w:pPr>
      <w:bookmarkStart w:id="12" w:name="_Toc29482548"/>
      <w:r>
        <w:t>Arti</w:t>
      </w:r>
      <w:r w:rsidRPr="006A7351">
        <w:t>cle 10</w:t>
      </w:r>
      <w:r w:rsidR="00B643AA">
        <w:t> : Assurance</w:t>
      </w:r>
      <w:r w:rsidR="00B910FE">
        <w:t>s</w:t>
      </w:r>
      <w:bookmarkEnd w:id="12"/>
    </w:p>
    <w:p w14:paraId="70E4B4C1" w14:textId="77777777" w:rsidR="0077759E" w:rsidRPr="006A7351" w:rsidRDefault="0077759E" w:rsidP="00B643AA">
      <w:pPr>
        <w:ind w:left="0"/>
        <w:jc w:val="both"/>
      </w:pPr>
      <w:r w:rsidRPr="006A7351">
        <w:t xml:space="preserve">Le bénéficiaire d'un prêt est obligatoirement affilié à un </w:t>
      </w:r>
      <w:bookmarkStart w:id="13" w:name="OLE_LINK9"/>
      <w:r w:rsidRPr="006A7351">
        <w:t xml:space="preserve">fonds de prévoyance </w:t>
      </w:r>
      <w:bookmarkEnd w:id="13"/>
      <w:r w:rsidRPr="006A7351">
        <w:t xml:space="preserve">moyennant une contribution </w:t>
      </w:r>
      <w:r>
        <w:t xml:space="preserve">de 1 % de la </w:t>
      </w:r>
      <w:r w:rsidRPr="006A7351">
        <w:t xml:space="preserve">somme qui fait l'objet du prêt. </w:t>
      </w:r>
      <w:r>
        <w:t>L</w:t>
      </w:r>
      <w:r w:rsidRPr="006A7351">
        <w:t>a participation de l'emprunteur aux frais de tenue de comptes et de dossiers</w:t>
      </w:r>
      <w:r>
        <w:t xml:space="preserve"> est fixée à 1 % de la somme empruntée</w:t>
      </w:r>
      <w:r w:rsidRPr="006A7351">
        <w:t>.</w:t>
      </w:r>
    </w:p>
    <w:p w14:paraId="10F746F4" w14:textId="34D878DC" w:rsidR="0077759E" w:rsidRPr="006A7351" w:rsidRDefault="0077759E" w:rsidP="00B643AA">
      <w:pPr>
        <w:ind w:left="0"/>
        <w:jc w:val="both"/>
      </w:pPr>
      <w:r w:rsidRPr="006A7351">
        <w:t xml:space="preserve">En cas de décès de l'emprunteur, le fonds de prévoyance se substitue à la succession de celui-ci pour obtenir le remboursement des sommes dont il est redevable. </w:t>
      </w:r>
    </w:p>
    <w:p w14:paraId="7969B569" w14:textId="77777777" w:rsidR="0077759E" w:rsidRPr="006A7351" w:rsidRDefault="0077759E" w:rsidP="00B643AA">
      <w:pPr>
        <w:ind w:left="0"/>
        <w:jc w:val="both"/>
      </w:pPr>
      <w:r w:rsidRPr="006A7351">
        <w:t>Le fonds de prévoyance peut également apporter une aide à l'emprunteur victime d'une catastrophe naturelle sous réserve que :</w:t>
      </w:r>
    </w:p>
    <w:p w14:paraId="676174E1" w14:textId="77777777" w:rsidR="0077759E" w:rsidRDefault="0077759E" w:rsidP="00B910FE">
      <w:pPr>
        <w:pStyle w:val="Paragraphedeliste1"/>
        <w:numPr>
          <w:ilvl w:val="0"/>
          <w:numId w:val="5"/>
        </w:numPr>
        <w:jc w:val="both"/>
      </w:pPr>
      <w:r>
        <w:t>L</w:t>
      </w:r>
      <w:r w:rsidRPr="006A7351">
        <w:t>es biens meubles ou immeubles détériorés ou détruits fassent partie de la résidence principale</w:t>
      </w:r>
    </w:p>
    <w:p w14:paraId="20CDBFC5" w14:textId="77777777" w:rsidR="0077759E" w:rsidRPr="00EF7E5E" w:rsidRDefault="0077759E" w:rsidP="00B910FE">
      <w:pPr>
        <w:pStyle w:val="Paragraphedeliste1"/>
        <w:numPr>
          <w:ilvl w:val="0"/>
          <w:numId w:val="5"/>
        </w:numPr>
        <w:jc w:val="both"/>
      </w:pPr>
      <w:r>
        <w:rPr>
          <w:rFonts w:cs="Times New Roman"/>
        </w:rPr>
        <w:t>C</w:t>
      </w:r>
      <w:r w:rsidRPr="00EF7E5E">
        <w:rPr>
          <w:rFonts w:cs="Times New Roman"/>
        </w:rPr>
        <w:t>ette dernière soit située dans une commune mentionnée dans l'arrêté indiquant l'état de catastrophe naturelle</w:t>
      </w:r>
    </w:p>
    <w:p w14:paraId="1042AEDA" w14:textId="77777777" w:rsidR="0077759E" w:rsidRPr="00114E6D" w:rsidRDefault="0077759E" w:rsidP="00B910FE">
      <w:pPr>
        <w:pStyle w:val="Paragraphedeliste1"/>
        <w:numPr>
          <w:ilvl w:val="0"/>
          <w:numId w:val="5"/>
        </w:numPr>
        <w:jc w:val="both"/>
      </w:pPr>
      <w:r>
        <w:rPr>
          <w:rFonts w:cs="Times New Roman"/>
        </w:rPr>
        <w:t>L</w:t>
      </w:r>
      <w:r w:rsidRPr="00EF7E5E">
        <w:rPr>
          <w:rFonts w:cs="Times New Roman"/>
        </w:rPr>
        <w:t>es dommages subis soient suffisamment importants pour ouvrir droit à indemnisation par la compagnie d'assurance qui assure lesdits biens.</w:t>
      </w:r>
    </w:p>
    <w:p w14:paraId="689F2A07" w14:textId="77777777" w:rsidR="002646C4" w:rsidRPr="0052134A" w:rsidRDefault="002646C4" w:rsidP="00114E6D">
      <w:pPr>
        <w:pStyle w:val="Paragraphedeliste"/>
        <w:spacing w:after="0"/>
        <w:ind w:left="432"/>
        <w:contextualSpacing w:val="0"/>
      </w:pPr>
    </w:p>
    <w:p w14:paraId="736B02FE" w14:textId="6620D3B3" w:rsidR="00114E6D" w:rsidRPr="0052134A" w:rsidRDefault="00114E6D" w:rsidP="0052134A">
      <w:pPr>
        <w:pStyle w:val="Paragraphedeliste"/>
        <w:spacing w:after="0"/>
        <w:ind w:left="0"/>
        <w:contextualSpacing w:val="0"/>
        <w:jc w:val="both"/>
      </w:pPr>
      <w:r w:rsidRPr="0052134A">
        <w:t>Sur proposition de la commission, le conseil d’administration de l’association Valentin Haüy peut décider de suspendre, pour une durée déterminée</w:t>
      </w:r>
      <w:r w:rsidR="002646C4" w:rsidRPr="0052134A">
        <w:t xml:space="preserve"> renouvelable, l’application </w:t>
      </w:r>
      <w:r w:rsidR="00A64EED" w:rsidRPr="0052134A">
        <w:t xml:space="preserve">à tous les contrats de prêts </w:t>
      </w:r>
      <w:r w:rsidR="002646C4" w:rsidRPr="0052134A">
        <w:t>d</w:t>
      </w:r>
      <w:r w:rsidRPr="0052134A">
        <w:t xml:space="preserve">es retenues de 1% </w:t>
      </w:r>
      <w:r w:rsidR="002646C4" w:rsidRPr="0052134A">
        <w:t xml:space="preserve">de l’affiliation obligatoire au fonds de prévoyance </w:t>
      </w:r>
      <w:r w:rsidRPr="0052134A">
        <w:t xml:space="preserve">et de 1% pour frais </w:t>
      </w:r>
      <w:r w:rsidR="002646C4" w:rsidRPr="0052134A">
        <w:t xml:space="preserve">de tenue de comptes et de dossiers </w:t>
      </w:r>
      <w:r w:rsidRPr="0052134A">
        <w:t>demandées à chaque emprunteur</w:t>
      </w:r>
      <w:r w:rsidR="002646C4" w:rsidRPr="0052134A">
        <w:t xml:space="preserve">. </w:t>
      </w:r>
    </w:p>
    <w:p w14:paraId="232113C4" w14:textId="470003DE" w:rsidR="00714FCA" w:rsidRDefault="00714FCA">
      <w:pPr>
        <w:spacing w:after="0"/>
        <w:ind w:left="0"/>
      </w:pPr>
      <w:r>
        <w:br w:type="page"/>
      </w:r>
    </w:p>
    <w:p w14:paraId="693AA334" w14:textId="77777777" w:rsidR="0077759E" w:rsidRPr="006A7351" w:rsidRDefault="0077759E" w:rsidP="005F5A61">
      <w:pPr>
        <w:pStyle w:val="Titre1"/>
        <w:numPr>
          <w:ilvl w:val="0"/>
          <w:numId w:val="0"/>
        </w:numPr>
        <w:ind w:left="432" w:hanging="432"/>
      </w:pPr>
      <w:bookmarkStart w:id="14" w:name="_Toc29482549"/>
      <w:r w:rsidRPr="006A7351">
        <w:lastRenderedPageBreak/>
        <w:t>Article 11</w:t>
      </w:r>
      <w:r w:rsidR="009346D6">
        <w:t xml:space="preserve"> : </w:t>
      </w:r>
      <w:r w:rsidR="00265034">
        <w:t>Défaut de remboursement</w:t>
      </w:r>
      <w:bookmarkEnd w:id="14"/>
    </w:p>
    <w:p w14:paraId="09940312" w14:textId="4196BA8A" w:rsidR="0077759E" w:rsidRPr="00EF7E5E" w:rsidRDefault="0077759E" w:rsidP="00516FD7">
      <w:pPr>
        <w:ind w:left="0"/>
        <w:jc w:val="both"/>
        <w:rPr>
          <w:rFonts w:cs="Times New Roman"/>
        </w:rPr>
      </w:pPr>
      <w:r w:rsidRPr="00EF7E5E">
        <w:rPr>
          <w:rFonts w:cs="Times New Roman"/>
        </w:rPr>
        <w:t xml:space="preserve">L'emprunteur qui, durant 5 années consécutives, n'a effectué aucun remboursement est exclu </w:t>
      </w:r>
      <w:r w:rsidR="0064286C">
        <w:rPr>
          <w:rFonts w:cs="Times New Roman"/>
        </w:rPr>
        <w:t xml:space="preserve">de manière définitive </w:t>
      </w:r>
      <w:r w:rsidRPr="00EF7E5E">
        <w:rPr>
          <w:rFonts w:cs="Times New Roman"/>
        </w:rPr>
        <w:t>de toute nouvelle aide de</w:t>
      </w:r>
      <w:r w:rsidR="00F07DBC">
        <w:rPr>
          <w:rFonts w:cs="Times New Roman"/>
        </w:rPr>
        <w:t xml:space="preserve"> l'a</w:t>
      </w:r>
      <w:r w:rsidRPr="00EF7E5E">
        <w:rPr>
          <w:rFonts w:cs="Times New Roman"/>
        </w:rPr>
        <w:t>ssociation. Ce type de situation est noté dans le rapport annuel d'activité de la Commission.</w:t>
      </w:r>
    </w:p>
    <w:p w14:paraId="0E4682B6" w14:textId="77777777" w:rsidR="0077759E" w:rsidRDefault="0077759E" w:rsidP="00516FD7">
      <w:pPr>
        <w:ind w:left="0"/>
        <w:jc w:val="both"/>
        <w:rPr>
          <w:rFonts w:cs="Times New Roman"/>
        </w:rPr>
      </w:pPr>
      <w:r w:rsidRPr="00EF7E5E">
        <w:rPr>
          <w:rFonts w:cs="Times New Roman"/>
        </w:rPr>
        <w:t>Le caractère irrécouvrable de la créance peut être constaté alors par la Commission. Son montant est alors déduit de</w:t>
      </w:r>
      <w:r>
        <w:rPr>
          <w:rFonts w:cs="Times New Roman"/>
        </w:rPr>
        <w:t>s réserves du FCS</w:t>
      </w:r>
      <w:r w:rsidRPr="00EF7E5E">
        <w:rPr>
          <w:rFonts w:cs="Times New Roman"/>
        </w:rPr>
        <w:t>.</w:t>
      </w:r>
    </w:p>
    <w:p w14:paraId="42114A4C" w14:textId="77777777" w:rsidR="0077759E" w:rsidRPr="00EF7E5E" w:rsidRDefault="0077759E" w:rsidP="005F5A61">
      <w:pPr>
        <w:pStyle w:val="Titre1"/>
        <w:numPr>
          <w:ilvl w:val="0"/>
          <w:numId w:val="0"/>
        </w:numPr>
        <w:ind w:left="432" w:hanging="432"/>
      </w:pPr>
      <w:bookmarkStart w:id="15" w:name="_Toc29482550"/>
      <w:r w:rsidRPr="006A7351">
        <w:t>Article 1</w:t>
      </w:r>
      <w:r>
        <w:t>2</w:t>
      </w:r>
      <w:r w:rsidR="00265034">
        <w:t> : Données personnelles</w:t>
      </w:r>
      <w:bookmarkEnd w:id="15"/>
    </w:p>
    <w:p w14:paraId="642C9C16" w14:textId="1CF71FB9" w:rsidR="0077759E" w:rsidRPr="0023404D" w:rsidRDefault="0077759E" w:rsidP="0023404D">
      <w:pPr>
        <w:ind w:left="0"/>
        <w:jc w:val="both"/>
        <w:rPr>
          <w:rFonts w:cs="Times New Roman"/>
        </w:rPr>
      </w:pPr>
      <w:r>
        <w:rPr>
          <w:rFonts w:cs="Times New Roman"/>
        </w:rPr>
        <w:t>Une demande d’aide au FCS implique la communication de mult</w:t>
      </w:r>
      <w:r w:rsidR="00F07DBC">
        <w:rPr>
          <w:rFonts w:cs="Times New Roman"/>
        </w:rPr>
        <w:t>iples données personnelles à l’a</w:t>
      </w:r>
      <w:r>
        <w:rPr>
          <w:rFonts w:cs="Times New Roman"/>
        </w:rPr>
        <w:t xml:space="preserve">ssociation qui est pleinement consciente de ses devoirs en matière de protection de ces données et </w:t>
      </w:r>
      <w:r w:rsidR="0023404D">
        <w:rPr>
          <w:rFonts w:cs="Times New Roman"/>
        </w:rPr>
        <w:t>son obligation de respecter le Règlement E</w:t>
      </w:r>
      <w:r>
        <w:rPr>
          <w:rFonts w:cs="Times New Roman"/>
        </w:rPr>
        <w:t>uropéen su</w:t>
      </w:r>
      <w:r w:rsidR="0023404D">
        <w:rPr>
          <w:rFonts w:cs="Times New Roman"/>
        </w:rPr>
        <w:t>r la Protection des D</w:t>
      </w:r>
      <w:r>
        <w:rPr>
          <w:rFonts w:cs="Times New Roman"/>
        </w:rPr>
        <w:t>onnées (RGPD)</w:t>
      </w:r>
      <w:r w:rsidR="00CA0A80">
        <w:rPr>
          <w:rFonts w:cs="Times New Roman"/>
        </w:rPr>
        <w:t>.</w:t>
      </w:r>
      <w:r w:rsidR="0023404D">
        <w:rPr>
          <w:rFonts w:cs="Times New Roman"/>
        </w:rPr>
        <w:t xml:space="preserve"> </w:t>
      </w:r>
      <w:r w:rsidR="00CA0A80">
        <w:rPr>
          <w:rFonts w:cs="Times New Roman"/>
        </w:rPr>
        <w:t>E</w:t>
      </w:r>
      <w:r>
        <w:rPr>
          <w:rFonts w:cs="Times New Roman"/>
        </w:rPr>
        <w:t xml:space="preserve">n particulier, les données personnelles fournies au FCS font l’objet d’une fiche dans le registre </w:t>
      </w:r>
      <w:r w:rsidR="00F07DBC">
        <w:rPr>
          <w:rFonts w:cs="Times New Roman"/>
        </w:rPr>
        <w:t>d’activités de traitement de l’a</w:t>
      </w:r>
      <w:r>
        <w:rPr>
          <w:rFonts w:cs="Times New Roman"/>
        </w:rPr>
        <w:t>ssociation et elles seront intégralement détruites en cas de décision négativ</w:t>
      </w:r>
      <w:r w:rsidR="00651F7E">
        <w:rPr>
          <w:rFonts w:cs="Times New Roman"/>
        </w:rPr>
        <w:t>e de la C</w:t>
      </w:r>
      <w:r>
        <w:rPr>
          <w:rFonts w:cs="Times New Roman"/>
        </w:rPr>
        <w:t>ommission.</w:t>
      </w:r>
      <w:r w:rsidR="00A64EED">
        <w:rPr>
          <w:rFonts w:cs="Times New Roman"/>
        </w:rPr>
        <w:t xml:space="preserve"> </w:t>
      </w:r>
    </w:p>
    <w:sectPr w:rsidR="0077759E" w:rsidRPr="0023404D" w:rsidSect="0077759E">
      <w:headerReference w:type="default" r:id="rId8"/>
      <w:footerReference w:type="even" r:id="rId9"/>
      <w:footerReference w:type="default" r:id="rId10"/>
      <w:pgSz w:w="11906" w:h="16838"/>
      <w:pgMar w:top="1417" w:right="1417" w:bottom="1417" w:left="1417" w:header="708" w:footer="708"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68240" w14:textId="77777777" w:rsidR="00D46725" w:rsidRDefault="00D46725">
      <w:pPr>
        <w:spacing w:after="0"/>
      </w:pPr>
      <w:r>
        <w:separator/>
      </w:r>
    </w:p>
  </w:endnote>
  <w:endnote w:type="continuationSeparator" w:id="0">
    <w:p w14:paraId="64A0E67A" w14:textId="77777777" w:rsidR="00D46725" w:rsidRDefault="00D46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E47A7" w14:textId="77777777" w:rsidR="00895B51" w:rsidRDefault="00895B51" w:rsidP="0077759E">
    <w:pPr>
      <w:pStyle w:val="Pieddepage"/>
    </w:pPr>
    <w:r>
      <w:fldChar w:fldCharType="begin"/>
    </w:r>
    <w:r>
      <w:instrText xml:space="preserve"> PAGE </w:instrText>
    </w:r>
    <w:r>
      <w:fldChar w:fldCharType="separate"/>
    </w:r>
    <w:r>
      <w:rPr>
        <w:noProof/>
      </w:rPr>
      <w:t>2</w:t>
    </w:r>
    <w: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08" w:type="dxa"/>
      <w:tblBorders>
        <w:top w:val="single" w:sz="18" w:space="0" w:color="808080"/>
        <w:insideV w:val="single" w:sz="18" w:space="0" w:color="808080"/>
      </w:tblBorders>
      <w:tblLook w:val="00A0" w:firstRow="1" w:lastRow="0" w:firstColumn="1" w:lastColumn="0" w:noHBand="0" w:noVBand="0"/>
    </w:tblPr>
    <w:tblGrid>
      <w:gridCol w:w="963"/>
      <w:gridCol w:w="8325"/>
    </w:tblGrid>
    <w:tr w:rsidR="00895B51" w14:paraId="5E26A862" w14:textId="77777777">
      <w:tc>
        <w:tcPr>
          <w:tcW w:w="918" w:type="dxa"/>
          <w:tcBorders>
            <w:top w:val="single" w:sz="18" w:space="0" w:color="808080"/>
            <w:right w:val="single" w:sz="18" w:space="0" w:color="808080"/>
          </w:tcBorders>
        </w:tcPr>
        <w:p w14:paraId="0313B25E" w14:textId="77777777" w:rsidR="00895B51" w:rsidRPr="009A1FB8" w:rsidRDefault="00895B51">
          <w:pPr>
            <w:pStyle w:val="Pieddepage"/>
            <w:jc w:val="right"/>
            <w:rPr>
              <w:rFonts w:ascii="Arial" w:eastAsia="Times New Roman" w:hAnsi="Arial" w:cs="Arial"/>
              <w:sz w:val="24"/>
            </w:rPr>
          </w:pPr>
          <w:r w:rsidRPr="009A1FB8">
            <w:rPr>
              <w:rFonts w:ascii="Arial" w:eastAsia="Times New Roman" w:hAnsi="Arial" w:cs="Arial"/>
              <w:sz w:val="24"/>
            </w:rPr>
            <w:fldChar w:fldCharType="begin"/>
          </w:r>
          <w:r w:rsidRPr="009A1FB8">
            <w:rPr>
              <w:rFonts w:ascii="Arial" w:eastAsia="Times New Roman" w:hAnsi="Arial" w:cs="Arial"/>
              <w:sz w:val="24"/>
            </w:rPr>
            <w:instrText>PAGE   \* MERGEFORMAT</w:instrText>
          </w:r>
          <w:r w:rsidRPr="009A1FB8">
            <w:rPr>
              <w:rFonts w:ascii="Arial" w:eastAsia="Times New Roman" w:hAnsi="Arial" w:cs="Arial"/>
              <w:sz w:val="24"/>
            </w:rPr>
            <w:fldChar w:fldCharType="separate"/>
          </w:r>
          <w:r w:rsidR="00D109A1">
            <w:rPr>
              <w:rFonts w:ascii="Arial" w:eastAsia="Times New Roman" w:hAnsi="Arial" w:cs="Arial"/>
              <w:noProof/>
              <w:sz w:val="24"/>
            </w:rPr>
            <w:t>7</w:t>
          </w:r>
          <w:r w:rsidRPr="009A1FB8">
            <w:rPr>
              <w:rFonts w:ascii="Arial" w:eastAsia="Times New Roman" w:hAnsi="Arial" w:cs="Arial"/>
              <w:sz w:val="24"/>
            </w:rPr>
            <w:fldChar w:fldCharType="end"/>
          </w:r>
        </w:p>
      </w:tc>
      <w:tc>
        <w:tcPr>
          <w:tcW w:w="7938" w:type="dxa"/>
          <w:tcBorders>
            <w:top w:val="single" w:sz="18" w:space="0" w:color="808080"/>
            <w:left w:val="single" w:sz="18" w:space="0" w:color="808080"/>
          </w:tcBorders>
        </w:tcPr>
        <w:p w14:paraId="25AE816A" w14:textId="77777777" w:rsidR="00895B51" w:rsidRPr="00053F65" w:rsidRDefault="00895B51">
          <w:pPr>
            <w:pStyle w:val="Pieddepage"/>
            <w:rPr>
              <w:rFonts w:ascii="Arial" w:eastAsia="Times New Roman" w:hAnsi="Arial" w:cs="Arial"/>
              <w:sz w:val="22"/>
              <w:szCs w:val="22"/>
            </w:rPr>
          </w:pPr>
          <w:r w:rsidRPr="00053F65">
            <w:rPr>
              <w:rFonts w:ascii="Arial" w:eastAsia="Times New Roman" w:hAnsi="Arial" w:cs="Arial"/>
              <w:sz w:val="22"/>
              <w:szCs w:val="22"/>
            </w:rPr>
            <w:t>Service Social</w:t>
          </w:r>
          <w:r w:rsidR="002A1D11">
            <w:rPr>
              <w:rFonts w:ascii="Arial" w:eastAsia="Times New Roman" w:hAnsi="Arial" w:cs="Arial"/>
              <w:sz w:val="22"/>
              <w:szCs w:val="22"/>
            </w:rPr>
            <w:t xml:space="preserve"> et Juridique</w:t>
          </w:r>
        </w:p>
        <w:p w14:paraId="32A77B01" w14:textId="1D7FEFEE" w:rsidR="009B18AA" w:rsidRPr="00053F65" w:rsidRDefault="009B18AA" w:rsidP="009B18AA">
          <w:pPr>
            <w:pStyle w:val="Pieddepage"/>
            <w:rPr>
              <w:rFonts w:ascii="Arial" w:eastAsia="Times New Roman" w:hAnsi="Arial" w:cs="Arial"/>
              <w:sz w:val="22"/>
              <w:szCs w:val="22"/>
            </w:rPr>
          </w:pPr>
          <w:r>
            <w:rPr>
              <w:rFonts w:ascii="Arial" w:eastAsia="Times New Roman" w:hAnsi="Arial" w:cs="Arial"/>
              <w:sz w:val="22"/>
              <w:szCs w:val="22"/>
            </w:rPr>
            <w:t>01</w:t>
          </w:r>
          <w:r w:rsidR="004D495F">
            <w:rPr>
              <w:rFonts w:ascii="Arial" w:eastAsia="Times New Roman" w:hAnsi="Arial" w:cs="Arial"/>
              <w:sz w:val="22"/>
              <w:szCs w:val="22"/>
            </w:rPr>
            <w:t>/01</w:t>
          </w:r>
          <w:r w:rsidR="007C6AE5">
            <w:rPr>
              <w:rFonts w:ascii="Arial" w:eastAsia="Times New Roman" w:hAnsi="Arial" w:cs="Arial"/>
              <w:sz w:val="22"/>
              <w:szCs w:val="22"/>
            </w:rPr>
            <w:t>/</w:t>
          </w:r>
          <w:r w:rsidR="00651CEB">
            <w:rPr>
              <w:rFonts w:ascii="Arial" w:eastAsia="Times New Roman" w:hAnsi="Arial" w:cs="Arial"/>
              <w:sz w:val="22"/>
              <w:szCs w:val="22"/>
            </w:rPr>
            <w:t>20</w:t>
          </w:r>
          <w:r>
            <w:rPr>
              <w:rFonts w:ascii="Arial" w:eastAsia="Times New Roman" w:hAnsi="Arial" w:cs="Arial"/>
              <w:sz w:val="22"/>
              <w:szCs w:val="22"/>
            </w:rPr>
            <w:t>20</w:t>
          </w:r>
        </w:p>
      </w:tc>
    </w:tr>
  </w:tbl>
  <w:p w14:paraId="0C169B56" w14:textId="77777777" w:rsidR="00895B51" w:rsidRPr="007641E5" w:rsidRDefault="00895B51" w:rsidP="0077759E">
    <w:pPr>
      <w:pStyle w:val="Pieddepage"/>
      <w:rPr>
        <w:color w:val="0F243E"/>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AB261" w14:textId="77777777" w:rsidR="00D46725" w:rsidRDefault="00D46725">
      <w:pPr>
        <w:spacing w:after="0"/>
      </w:pPr>
      <w:r>
        <w:separator/>
      </w:r>
    </w:p>
  </w:footnote>
  <w:footnote w:type="continuationSeparator" w:id="0">
    <w:p w14:paraId="0AFC30CC" w14:textId="77777777" w:rsidR="00D46725" w:rsidRDefault="00D467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A61B" w14:textId="77777777" w:rsidR="00895B51" w:rsidRDefault="00F96CDB">
    <w:pPr>
      <w:pStyle w:val="En-tte"/>
    </w:pPr>
    <w:r>
      <w:rPr>
        <w:noProof/>
      </w:rPr>
      <w:drawing>
        <wp:inline distT="0" distB="0" distL="0" distR="0" wp14:anchorId="5446E444" wp14:editId="5FA6A4D4">
          <wp:extent cx="1781175" cy="971550"/>
          <wp:effectExtent l="0" t="0" r="9525" b="0"/>
          <wp:docPr id="1" name="Image 2" descr="Valentin Haüy&#10;Avec les aveugles et les malvoyants"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71550"/>
                  </a:xfrm>
                  <a:prstGeom prst="rect">
                    <a:avLst/>
                  </a:prstGeom>
                  <a:noFill/>
                  <a:ln>
                    <a:noFill/>
                  </a:ln>
                </pic:spPr>
              </pic:pic>
            </a:graphicData>
          </a:graphic>
        </wp:inline>
      </w:drawing>
    </w:r>
  </w:p>
  <w:p w14:paraId="73D64328" w14:textId="77777777" w:rsidR="00895B51" w:rsidRDefault="00895B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0AA6"/>
    <w:multiLevelType w:val="multilevel"/>
    <w:tmpl w:val="CD70F46A"/>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513178A4"/>
    <w:multiLevelType w:val="multilevel"/>
    <w:tmpl w:val="133A0C2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56A96C8C"/>
    <w:multiLevelType w:val="hybridMultilevel"/>
    <w:tmpl w:val="7EA6407E"/>
    <w:lvl w:ilvl="0" w:tplc="AF500DB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5357242"/>
    <w:multiLevelType w:val="multilevel"/>
    <w:tmpl w:val="37B805C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73C35A2F"/>
    <w:multiLevelType w:val="hybridMultilevel"/>
    <w:tmpl w:val="20107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BD49D1"/>
    <w:multiLevelType w:val="hybridMultilevel"/>
    <w:tmpl w:val="2C50758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59E"/>
    <w:rsid w:val="00040B0B"/>
    <w:rsid w:val="00047A7B"/>
    <w:rsid w:val="00070CA7"/>
    <w:rsid w:val="00086557"/>
    <w:rsid w:val="000E5116"/>
    <w:rsid w:val="001002D3"/>
    <w:rsid w:val="00102444"/>
    <w:rsid w:val="00107A0C"/>
    <w:rsid w:val="00114E6D"/>
    <w:rsid w:val="00173E15"/>
    <w:rsid w:val="00192CA2"/>
    <w:rsid w:val="001F3ECC"/>
    <w:rsid w:val="001F6DC1"/>
    <w:rsid w:val="0023404D"/>
    <w:rsid w:val="002646C4"/>
    <w:rsid w:val="00265034"/>
    <w:rsid w:val="00284038"/>
    <w:rsid w:val="002A1D11"/>
    <w:rsid w:val="002A53A4"/>
    <w:rsid w:val="002B42E3"/>
    <w:rsid w:val="002C3DE3"/>
    <w:rsid w:val="00331470"/>
    <w:rsid w:val="003323F4"/>
    <w:rsid w:val="003D7708"/>
    <w:rsid w:val="00457EE7"/>
    <w:rsid w:val="00473575"/>
    <w:rsid w:val="00493C3F"/>
    <w:rsid w:val="004C6161"/>
    <w:rsid w:val="004D495F"/>
    <w:rsid w:val="004F0BB3"/>
    <w:rsid w:val="00516FD7"/>
    <w:rsid w:val="0052134A"/>
    <w:rsid w:val="005F5A61"/>
    <w:rsid w:val="0063255A"/>
    <w:rsid w:val="0064286C"/>
    <w:rsid w:val="00646708"/>
    <w:rsid w:val="00651CEB"/>
    <w:rsid w:val="00651F7E"/>
    <w:rsid w:val="00691855"/>
    <w:rsid w:val="006E333B"/>
    <w:rsid w:val="006E3D49"/>
    <w:rsid w:val="006E40FD"/>
    <w:rsid w:val="00714AEE"/>
    <w:rsid w:val="00714FCA"/>
    <w:rsid w:val="0077759E"/>
    <w:rsid w:val="007C6AE5"/>
    <w:rsid w:val="0083729F"/>
    <w:rsid w:val="00866CB1"/>
    <w:rsid w:val="00881AAD"/>
    <w:rsid w:val="00895B51"/>
    <w:rsid w:val="009156A4"/>
    <w:rsid w:val="009346D6"/>
    <w:rsid w:val="009569F9"/>
    <w:rsid w:val="0098572A"/>
    <w:rsid w:val="00995F66"/>
    <w:rsid w:val="009A1FB8"/>
    <w:rsid w:val="009B18AA"/>
    <w:rsid w:val="009C65CF"/>
    <w:rsid w:val="00A052A7"/>
    <w:rsid w:val="00A26488"/>
    <w:rsid w:val="00A50201"/>
    <w:rsid w:val="00A6176E"/>
    <w:rsid w:val="00A61B67"/>
    <w:rsid w:val="00A6390B"/>
    <w:rsid w:val="00A64EED"/>
    <w:rsid w:val="00AF421A"/>
    <w:rsid w:val="00B03DE7"/>
    <w:rsid w:val="00B071AC"/>
    <w:rsid w:val="00B643AA"/>
    <w:rsid w:val="00B910FE"/>
    <w:rsid w:val="00C42AE5"/>
    <w:rsid w:val="00CA0A80"/>
    <w:rsid w:val="00CB7447"/>
    <w:rsid w:val="00CD2124"/>
    <w:rsid w:val="00CF266B"/>
    <w:rsid w:val="00D109A1"/>
    <w:rsid w:val="00D11D26"/>
    <w:rsid w:val="00D46725"/>
    <w:rsid w:val="00D6303A"/>
    <w:rsid w:val="00D92BB1"/>
    <w:rsid w:val="00DC2E3A"/>
    <w:rsid w:val="00DC444C"/>
    <w:rsid w:val="00DC6E7D"/>
    <w:rsid w:val="00E02C63"/>
    <w:rsid w:val="00EC5FCC"/>
    <w:rsid w:val="00F07DBC"/>
    <w:rsid w:val="00F44E25"/>
    <w:rsid w:val="00F803D3"/>
    <w:rsid w:val="00F96CDB"/>
    <w:rsid w:val="00FA7F25"/>
    <w:rsid w:val="00FF5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DC1202"/>
  <w15:docId w15:val="{9E85E787-43A9-4D5A-AD3C-5CDE8BC7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59E"/>
    <w:pPr>
      <w:spacing w:after="120"/>
      <w:ind w:left="284"/>
    </w:pPr>
    <w:rPr>
      <w:rFonts w:ascii="Arial" w:hAnsi="Arial" w:cs="Arial"/>
      <w:sz w:val="28"/>
      <w:szCs w:val="28"/>
    </w:rPr>
  </w:style>
  <w:style w:type="paragraph" w:styleId="Titre1">
    <w:name w:val="heading 1"/>
    <w:basedOn w:val="Normal"/>
    <w:next w:val="Normal"/>
    <w:link w:val="Titre1Car"/>
    <w:qFormat/>
    <w:rsid w:val="0077759E"/>
    <w:pPr>
      <w:numPr>
        <w:numId w:val="1"/>
      </w:numPr>
      <w:pBdr>
        <w:top w:val="single" w:sz="12" w:space="1" w:color="4A4F64"/>
      </w:pBdr>
      <w:spacing w:before="480" w:after="240"/>
      <w:ind w:right="28"/>
      <w:jc w:val="both"/>
      <w:outlineLvl w:val="0"/>
    </w:pPr>
    <w:rPr>
      <w:rFonts w:eastAsia="Verdana" w:cs="Times New Roman"/>
      <w:b/>
      <w:bCs/>
      <w:color w:val="1F497D"/>
      <w:sz w:val="36"/>
      <w:szCs w:val="36"/>
    </w:rPr>
  </w:style>
  <w:style w:type="paragraph" w:styleId="Titre2">
    <w:name w:val="heading 2"/>
    <w:basedOn w:val="Normal"/>
    <w:next w:val="Normal"/>
    <w:qFormat/>
    <w:rsid w:val="0077759E"/>
    <w:pPr>
      <w:keepNext/>
      <w:numPr>
        <w:ilvl w:val="1"/>
        <w:numId w:val="1"/>
      </w:numPr>
      <w:spacing w:before="360" w:after="240"/>
      <w:outlineLvl w:val="1"/>
    </w:pPr>
    <w:rPr>
      <w:rFonts w:eastAsia="Verdana" w:cs="Times New Roman"/>
      <w:b/>
      <w:bCs/>
      <w:color w:val="984806"/>
      <w:sz w:val="32"/>
      <w:szCs w:val="32"/>
    </w:rPr>
  </w:style>
  <w:style w:type="paragraph" w:styleId="Titre3">
    <w:name w:val="heading 3"/>
    <w:basedOn w:val="Normal"/>
    <w:next w:val="Normal"/>
    <w:qFormat/>
    <w:rsid w:val="0077759E"/>
    <w:pPr>
      <w:keepNext/>
      <w:numPr>
        <w:ilvl w:val="2"/>
        <w:numId w:val="1"/>
      </w:numPr>
      <w:tabs>
        <w:tab w:val="left" w:pos="993"/>
      </w:tabs>
      <w:spacing w:before="240" w:after="240"/>
      <w:outlineLvl w:val="2"/>
    </w:pPr>
    <w:rPr>
      <w:rFonts w:eastAsia="Verdana" w:cs="Times New Roman"/>
      <w:b/>
      <w:bCs/>
      <w:color w:val="000000"/>
    </w:rPr>
  </w:style>
  <w:style w:type="paragraph" w:styleId="Titre4">
    <w:name w:val="heading 4"/>
    <w:basedOn w:val="Normal"/>
    <w:next w:val="Normal"/>
    <w:qFormat/>
    <w:rsid w:val="0077759E"/>
    <w:pPr>
      <w:keepNext/>
      <w:numPr>
        <w:ilvl w:val="3"/>
        <w:numId w:val="1"/>
      </w:numPr>
      <w:spacing w:before="240" w:after="240"/>
      <w:outlineLvl w:val="3"/>
    </w:pPr>
    <w:rPr>
      <w:rFonts w:ascii="Verdana" w:eastAsia="Verdana" w:hAnsi="Verdana" w:cs="Times New Roman"/>
      <w:b/>
      <w:bCs/>
      <w:iCs/>
      <w:color w:val="000000"/>
      <w:sz w:val="20"/>
      <w:szCs w:val="20"/>
    </w:rPr>
  </w:style>
  <w:style w:type="paragraph" w:styleId="Titre6">
    <w:name w:val="heading 6"/>
    <w:basedOn w:val="Normal"/>
    <w:next w:val="Normal"/>
    <w:qFormat/>
    <w:rsid w:val="0077759E"/>
    <w:pPr>
      <w:keepNext/>
      <w:keepLines/>
      <w:numPr>
        <w:ilvl w:val="5"/>
        <w:numId w:val="1"/>
      </w:numPr>
      <w:spacing w:before="200" w:after="0"/>
      <w:outlineLvl w:val="5"/>
    </w:pPr>
    <w:rPr>
      <w:rFonts w:ascii="Verdana" w:eastAsia="Verdana" w:hAnsi="Verdana" w:cs="Times New Roman"/>
      <w:i/>
      <w:iCs/>
      <w:color w:val="243F60"/>
      <w:sz w:val="20"/>
      <w:szCs w:val="20"/>
    </w:rPr>
  </w:style>
  <w:style w:type="paragraph" w:styleId="Titre7">
    <w:name w:val="heading 7"/>
    <w:basedOn w:val="Normal"/>
    <w:next w:val="Normal"/>
    <w:qFormat/>
    <w:rsid w:val="0077759E"/>
    <w:pPr>
      <w:keepNext/>
      <w:keepLines/>
      <w:numPr>
        <w:ilvl w:val="6"/>
        <w:numId w:val="1"/>
      </w:numPr>
      <w:spacing w:before="200" w:after="0"/>
      <w:outlineLvl w:val="6"/>
    </w:pPr>
    <w:rPr>
      <w:rFonts w:ascii="Verdana" w:eastAsia="Verdana" w:hAnsi="Verdana" w:cs="Times New Roman"/>
      <w:i/>
      <w:iCs/>
      <w:color w:val="404040"/>
      <w:sz w:val="20"/>
      <w:szCs w:val="20"/>
    </w:rPr>
  </w:style>
  <w:style w:type="paragraph" w:styleId="Titre8">
    <w:name w:val="heading 8"/>
    <w:basedOn w:val="Normal"/>
    <w:next w:val="Normal"/>
    <w:qFormat/>
    <w:rsid w:val="0077759E"/>
    <w:pPr>
      <w:keepNext/>
      <w:keepLines/>
      <w:numPr>
        <w:ilvl w:val="7"/>
        <w:numId w:val="1"/>
      </w:numPr>
      <w:spacing w:before="200" w:after="0"/>
      <w:outlineLvl w:val="7"/>
    </w:pPr>
    <w:rPr>
      <w:rFonts w:ascii="Verdana" w:eastAsia="Verdana" w:hAnsi="Verdana" w:cs="Times New Roman"/>
      <w:color w:val="4F81BD"/>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77759E"/>
    <w:rPr>
      <w:rFonts w:ascii="Arial" w:eastAsia="Verdana" w:hAnsi="Arial"/>
      <w:b/>
      <w:bCs/>
      <w:color w:val="1F497D"/>
      <w:sz w:val="36"/>
      <w:szCs w:val="36"/>
      <w:lang w:val="fr-FR" w:eastAsia="fr-FR" w:bidi="ar-SA"/>
    </w:rPr>
  </w:style>
  <w:style w:type="paragraph" w:styleId="Titre">
    <w:name w:val="Title"/>
    <w:basedOn w:val="Normal"/>
    <w:next w:val="Normal"/>
    <w:link w:val="TitreCar"/>
    <w:qFormat/>
    <w:rsid w:val="0077759E"/>
    <w:pPr>
      <w:spacing w:after="300"/>
      <w:ind w:left="0"/>
    </w:pPr>
    <w:rPr>
      <w:rFonts w:eastAsia="Verdana" w:cs="Times New Roman"/>
      <w:b/>
      <w:color w:val="17365D"/>
      <w:spacing w:val="5"/>
      <w:kern w:val="28"/>
      <w:sz w:val="40"/>
      <w:szCs w:val="40"/>
    </w:rPr>
  </w:style>
  <w:style w:type="character" w:customStyle="1" w:styleId="TitreCar">
    <w:name w:val="Titre Car"/>
    <w:link w:val="Titre"/>
    <w:locked/>
    <w:rsid w:val="0077759E"/>
    <w:rPr>
      <w:rFonts w:ascii="Arial" w:eastAsia="Verdana" w:hAnsi="Arial"/>
      <w:b/>
      <w:color w:val="17365D"/>
      <w:spacing w:val="5"/>
      <w:kern w:val="28"/>
      <w:sz w:val="40"/>
      <w:szCs w:val="40"/>
      <w:lang w:val="fr-FR" w:eastAsia="fr-FR" w:bidi="ar-SA"/>
    </w:rPr>
  </w:style>
  <w:style w:type="paragraph" w:customStyle="1" w:styleId="Paragraphedeliste1">
    <w:name w:val="Paragraphe de liste1"/>
    <w:basedOn w:val="Normal"/>
    <w:rsid w:val="0077759E"/>
    <w:pPr>
      <w:tabs>
        <w:tab w:val="num" w:pos="360"/>
      </w:tabs>
    </w:pPr>
  </w:style>
  <w:style w:type="paragraph" w:customStyle="1" w:styleId="Citation1">
    <w:name w:val="Citation1"/>
    <w:basedOn w:val="Normal"/>
    <w:next w:val="Normal"/>
    <w:link w:val="QuoteChar"/>
    <w:rsid w:val="0077759E"/>
    <w:rPr>
      <w:rFonts w:cs="Times New Roman"/>
      <w:i/>
      <w:iCs/>
      <w:color w:val="000000"/>
      <w:sz w:val="20"/>
      <w:szCs w:val="20"/>
    </w:rPr>
  </w:style>
  <w:style w:type="character" w:customStyle="1" w:styleId="QuoteChar">
    <w:name w:val="Quote Char"/>
    <w:link w:val="Citation1"/>
    <w:locked/>
    <w:rsid w:val="0077759E"/>
    <w:rPr>
      <w:rFonts w:ascii="Arial" w:hAnsi="Arial"/>
      <w:i/>
      <w:iCs/>
      <w:color w:val="000000"/>
      <w:lang w:val="fr-FR" w:eastAsia="fr-FR" w:bidi="ar-SA"/>
    </w:rPr>
  </w:style>
  <w:style w:type="paragraph" w:styleId="En-tte">
    <w:name w:val="header"/>
    <w:basedOn w:val="Normal"/>
    <w:link w:val="En-tteCar"/>
    <w:rsid w:val="0077759E"/>
    <w:pPr>
      <w:tabs>
        <w:tab w:val="center" w:pos="4536"/>
        <w:tab w:val="right" w:pos="9072"/>
      </w:tabs>
    </w:pPr>
    <w:rPr>
      <w:rFonts w:ascii="Verdana" w:eastAsia="Verdana" w:hAnsi="Verdana" w:cs="Times New Roman"/>
      <w:sz w:val="20"/>
      <w:szCs w:val="20"/>
    </w:rPr>
  </w:style>
  <w:style w:type="character" w:customStyle="1" w:styleId="En-tteCar">
    <w:name w:val="En-tête Car"/>
    <w:link w:val="En-tte"/>
    <w:locked/>
    <w:rsid w:val="0077759E"/>
    <w:rPr>
      <w:rFonts w:ascii="Verdana" w:eastAsia="Verdana" w:hAnsi="Verdana"/>
      <w:lang w:val="fr-FR" w:eastAsia="fr-FR" w:bidi="ar-SA"/>
    </w:rPr>
  </w:style>
  <w:style w:type="paragraph" w:styleId="Pieddepage">
    <w:name w:val="footer"/>
    <w:basedOn w:val="Normal"/>
    <w:link w:val="PieddepageCar"/>
    <w:uiPriority w:val="99"/>
    <w:rsid w:val="0077759E"/>
    <w:pPr>
      <w:tabs>
        <w:tab w:val="center" w:pos="4536"/>
        <w:tab w:val="right" w:pos="9072"/>
      </w:tabs>
    </w:pPr>
    <w:rPr>
      <w:rFonts w:ascii="Verdana" w:eastAsia="Verdana" w:hAnsi="Verdana" w:cs="Times New Roman"/>
      <w:sz w:val="16"/>
      <w:szCs w:val="16"/>
    </w:rPr>
  </w:style>
  <w:style w:type="character" w:customStyle="1" w:styleId="PieddepageCar">
    <w:name w:val="Pied de page Car"/>
    <w:link w:val="Pieddepage"/>
    <w:uiPriority w:val="99"/>
    <w:locked/>
    <w:rsid w:val="0077759E"/>
    <w:rPr>
      <w:rFonts w:ascii="Verdana" w:eastAsia="Verdana" w:hAnsi="Verdana"/>
      <w:sz w:val="16"/>
      <w:szCs w:val="16"/>
      <w:lang w:val="fr-FR" w:eastAsia="fr-FR" w:bidi="ar-SA"/>
    </w:rPr>
  </w:style>
  <w:style w:type="paragraph" w:styleId="Textedebulles">
    <w:name w:val="Balloon Text"/>
    <w:basedOn w:val="Normal"/>
    <w:link w:val="TextedebullesCar"/>
    <w:rsid w:val="00473575"/>
    <w:pPr>
      <w:spacing w:after="0"/>
    </w:pPr>
    <w:rPr>
      <w:rFonts w:ascii="Tahoma" w:hAnsi="Tahoma" w:cs="Tahoma"/>
      <w:sz w:val="16"/>
      <w:szCs w:val="16"/>
    </w:rPr>
  </w:style>
  <w:style w:type="character" w:customStyle="1" w:styleId="TextedebullesCar">
    <w:name w:val="Texte de bulles Car"/>
    <w:basedOn w:val="Policepardfaut"/>
    <w:link w:val="Textedebulles"/>
    <w:rsid w:val="00473575"/>
    <w:rPr>
      <w:rFonts w:ascii="Tahoma" w:hAnsi="Tahoma" w:cs="Tahoma"/>
      <w:sz w:val="16"/>
      <w:szCs w:val="16"/>
    </w:rPr>
  </w:style>
  <w:style w:type="paragraph" w:styleId="TM1">
    <w:name w:val="toc 1"/>
    <w:basedOn w:val="Normal"/>
    <w:next w:val="Normal"/>
    <w:autoRedefine/>
    <w:uiPriority w:val="39"/>
    <w:rsid w:val="009A1FB8"/>
    <w:pPr>
      <w:ind w:left="0"/>
    </w:pPr>
  </w:style>
  <w:style w:type="character" w:styleId="Lienhypertexte">
    <w:name w:val="Hyperlink"/>
    <w:uiPriority w:val="99"/>
    <w:unhideWhenUsed/>
    <w:rsid w:val="009A1FB8"/>
    <w:rPr>
      <w:color w:val="0000FF"/>
      <w:u w:val="single"/>
    </w:rPr>
  </w:style>
  <w:style w:type="character" w:styleId="Marquedecommentaire">
    <w:name w:val="annotation reference"/>
    <w:basedOn w:val="Policepardfaut"/>
    <w:rsid w:val="0063255A"/>
    <w:rPr>
      <w:sz w:val="16"/>
      <w:szCs w:val="16"/>
    </w:rPr>
  </w:style>
  <w:style w:type="paragraph" w:styleId="Commentaire">
    <w:name w:val="annotation text"/>
    <w:basedOn w:val="Normal"/>
    <w:link w:val="CommentaireCar"/>
    <w:rsid w:val="0063255A"/>
    <w:rPr>
      <w:sz w:val="20"/>
      <w:szCs w:val="20"/>
    </w:rPr>
  </w:style>
  <w:style w:type="character" w:customStyle="1" w:styleId="CommentaireCar">
    <w:name w:val="Commentaire Car"/>
    <w:basedOn w:val="Policepardfaut"/>
    <w:link w:val="Commentaire"/>
    <w:rsid w:val="0063255A"/>
    <w:rPr>
      <w:rFonts w:ascii="Arial" w:hAnsi="Arial" w:cs="Arial"/>
    </w:rPr>
  </w:style>
  <w:style w:type="paragraph" w:styleId="Objetducommentaire">
    <w:name w:val="annotation subject"/>
    <w:basedOn w:val="Commentaire"/>
    <w:next w:val="Commentaire"/>
    <w:link w:val="ObjetducommentaireCar"/>
    <w:rsid w:val="0063255A"/>
    <w:rPr>
      <w:b/>
      <w:bCs/>
    </w:rPr>
  </w:style>
  <w:style w:type="character" w:customStyle="1" w:styleId="ObjetducommentaireCar">
    <w:name w:val="Objet du commentaire Car"/>
    <w:basedOn w:val="CommentaireCar"/>
    <w:link w:val="Objetducommentaire"/>
    <w:rsid w:val="0063255A"/>
    <w:rPr>
      <w:rFonts w:ascii="Arial" w:hAnsi="Arial" w:cs="Arial"/>
      <w:b/>
      <w:bCs/>
    </w:rPr>
  </w:style>
  <w:style w:type="paragraph" w:styleId="Paragraphedeliste">
    <w:name w:val="List Paragraph"/>
    <w:basedOn w:val="Normal"/>
    <w:uiPriority w:val="34"/>
    <w:qFormat/>
    <w:rsid w:val="004F0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6174">
      <w:bodyDiv w:val="1"/>
      <w:marLeft w:val="0"/>
      <w:marRight w:val="0"/>
      <w:marTop w:val="0"/>
      <w:marBottom w:val="0"/>
      <w:divBdr>
        <w:top w:val="none" w:sz="0" w:space="0" w:color="auto"/>
        <w:left w:val="none" w:sz="0" w:space="0" w:color="auto"/>
        <w:bottom w:val="none" w:sz="0" w:space="0" w:color="auto"/>
        <w:right w:val="none" w:sz="0" w:space="0" w:color="auto"/>
      </w:divBdr>
    </w:div>
    <w:div w:id="322900470">
      <w:bodyDiv w:val="1"/>
      <w:marLeft w:val="0"/>
      <w:marRight w:val="0"/>
      <w:marTop w:val="0"/>
      <w:marBottom w:val="0"/>
      <w:divBdr>
        <w:top w:val="none" w:sz="0" w:space="0" w:color="auto"/>
        <w:left w:val="none" w:sz="0" w:space="0" w:color="auto"/>
        <w:bottom w:val="none" w:sz="0" w:space="0" w:color="auto"/>
        <w:right w:val="none" w:sz="0" w:space="0" w:color="auto"/>
      </w:divBdr>
    </w:div>
    <w:div w:id="13543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B7B6-1CC1-4C94-AABD-949CA011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1859</Words>
  <Characters>10229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REGLEMENT INTERIEUR</vt:lpstr>
    </vt:vector>
  </TitlesOfParts>
  <Company>Microsoft</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creator>Pierre Tricot</dc:creator>
  <cp:lastModifiedBy>DEBONNAIRE Corinne</cp:lastModifiedBy>
  <cp:revision>5</cp:revision>
  <cp:lastPrinted>2019-10-07T14:21:00Z</cp:lastPrinted>
  <dcterms:created xsi:type="dcterms:W3CDTF">2020-01-06T21:20:00Z</dcterms:created>
  <dcterms:modified xsi:type="dcterms:W3CDTF">2020-01-09T16:16:00Z</dcterms:modified>
</cp:coreProperties>
</file>