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C4FD" w14:textId="77777777" w:rsidR="00241D12" w:rsidRPr="00FF6573" w:rsidRDefault="00241D12" w:rsidP="00241D12">
      <w:pPr>
        <w:spacing w:after="0" w:line="240" w:lineRule="auto"/>
        <w:rPr>
          <w:rFonts w:eastAsia="Arial" w:cs="Times New Roman"/>
          <w:sz w:val="22"/>
          <w:lang w:eastAsia="fr-FR"/>
        </w:rPr>
      </w:pPr>
    </w:p>
    <w:p w14:paraId="2FA90011" w14:textId="77777777" w:rsidR="00241D12" w:rsidRPr="00FF6573" w:rsidRDefault="00241D12" w:rsidP="00241D12">
      <w:pPr>
        <w:spacing w:after="0" w:line="240" w:lineRule="auto"/>
        <w:rPr>
          <w:rFonts w:eastAsia="Arial" w:cs="Times New Roman"/>
          <w:sz w:val="22"/>
          <w:lang w:eastAsia="fr-FR"/>
        </w:rPr>
      </w:pPr>
    </w:p>
    <w:p w14:paraId="01746412" w14:textId="77777777" w:rsidR="00241D12" w:rsidRPr="00FF6573" w:rsidRDefault="00241D12" w:rsidP="00241D12">
      <w:pPr>
        <w:spacing w:after="0" w:line="240" w:lineRule="auto"/>
        <w:rPr>
          <w:rFonts w:eastAsia="Arial" w:cs="Times New Roman"/>
          <w:sz w:val="22"/>
          <w:lang w:eastAsia="fr-FR"/>
        </w:rPr>
      </w:pPr>
    </w:p>
    <w:p w14:paraId="692FBC7C" w14:textId="78F776CF" w:rsidR="00241D12" w:rsidRPr="00FF6573" w:rsidRDefault="00241D12" w:rsidP="00241D12">
      <w:pPr>
        <w:spacing w:after="300" w:line="240" w:lineRule="auto"/>
        <w:contextualSpacing/>
        <w:jc w:val="center"/>
        <w:rPr>
          <w:rFonts w:eastAsia="Times New Roman" w:cs="Arial"/>
          <w:b/>
          <w:color w:val="632B8D"/>
          <w:spacing w:val="5"/>
          <w:kern w:val="28"/>
          <w:sz w:val="40"/>
          <w:szCs w:val="40"/>
          <w:lang w:eastAsia="fr-FR"/>
        </w:rPr>
      </w:pPr>
      <w:r>
        <w:rPr>
          <w:rFonts w:eastAsia="Times New Roman" w:cs="Arial"/>
          <w:b/>
          <w:color w:val="632B8D"/>
          <w:spacing w:val="5"/>
          <w:kern w:val="28"/>
          <w:sz w:val="40"/>
          <w:szCs w:val="40"/>
          <w:lang w:eastAsia="fr-FR"/>
        </w:rPr>
        <w:t>Orientations Médico-Sociales Adultes</w:t>
      </w:r>
    </w:p>
    <w:p w14:paraId="675ED8DB" w14:textId="77777777" w:rsidR="00241D12" w:rsidRPr="00FF6573" w:rsidRDefault="00241D12" w:rsidP="00241D12">
      <w:pPr>
        <w:spacing w:after="0" w:line="240" w:lineRule="auto"/>
        <w:rPr>
          <w:rFonts w:eastAsia="Arial" w:cs="Times New Roman"/>
          <w:sz w:val="22"/>
          <w:lang w:eastAsia="fr-FR"/>
        </w:rPr>
      </w:pPr>
    </w:p>
    <w:p w14:paraId="3CB23FDF" w14:textId="77777777" w:rsidR="00241D12" w:rsidRPr="00FF6573" w:rsidRDefault="00241D12" w:rsidP="00241D12">
      <w:pPr>
        <w:spacing w:after="0" w:line="240" w:lineRule="auto"/>
        <w:rPr>
          <w:rFonts w:eastAsia="Arial" w:cs="Times New Roman"/>
          <w:sz w:val="22"/>
          <w:lang w:eastAsia="fr-FR"/>
        </w:rPr>
      </w:pPr>
    </w:p>
    <w:p w14:paraId="1D492096" w14:textId="015719DD" w:rsidR="00241D12" w:rsidRPr="00FF6573" w:rsidRDefault="00CD5549" w:rsidP="00241D12">
      <w:pPr>
        <w:pBdr>
          <w:top w:val="single" w:sz="12" w:space="1" w:color="4A4F64"/>
        </w:pBdr>
        <w:spacing w:before="480" w:after="240" w:line="240" w:lineRule="auto"/>
        <w:ind w:left="432" w:right="28" w:hanging="432"/>
        <w:jc w:val="both"/>
        <w:outlineLvl w:val="0"/>
        <w:rPr>
          <w:rFonts w:eastAsia="Times New Roman" w:cs="Arial"/>
          <w:b/>
          <w:bCs/>
          <w:color w:val="4A08A0"/>
          <w:sz w:val="36"/>
          <w:szCs w:val="36"/>
          <w:lang w:eastAsia="fr-FR"/>
        </w:rPr>
      </w:pPr>
      <w:r w:rsidRPr="00CD5549">
        <w:rPr>
          <w:rFonts w:eastAsia="Times New Roman" w:cs="Arial"/>
          <w:b/>
          <w:bCs/>
          <w:color w:val="4A08A0"/>
          <w:sz w:val="36"/>
          <w:szCs w:val="36"/>
          <w:lang w:eastAsia="fr-FR"/>
        </w:rPr>
        <w:t>1</w:t>
      </w:r>
      <w:r w:rsidRPr="00CD5549">
        <w:rPr>
          <w:rFonts w:eastAsia="Times New Roman" w:cs="Arial"/>
          <w:b/>
          <w:bCs/>
          <w:color w:val="4A08A0"/>
          <w:sz w:val="36"/>
          <w:szCs w:val="36"/>
          <w:lang w:eastAsia="fr-FR"/>
        </w:rPr>
        <w:tab/>
        <w:t>De quoi s’agit-il ?</w:t>
      </w:r>
    </w:p>
    <w:p w14:paraId="676BA2EC" w14:textId="77777777" w:rsidR="00241D12" w:rsidRDefault="00241D12" w:rsidP="00241D12">
      <w:pPr>
        <w:spacing w:after="120" w:line="240" w:lineRule="auto"/>
        <w:jc w:val="both"/>
        <w:rPr>
          <w:rFonts w:eastAsia="Verdana" w:cs="Arial"/>
          <w:sz w:val="28"/>
          <w:szCs w:val="28"/>
          <w:lang w:eastAsia="fr-FR"/>
        </w:rPr>
      </w:pPr>
      <w:r>
        <w:rPr>
          <w:rFonts w:eastAsia="Verdana" w:cs="Arial"/>
          <w:sz w:val="28"/>
          <w:szCs w:val="28"/>
          <w:lang w:eastAsia="fr-FR"/>
        </w:rPr>
        <w:t>Les personnes en situation de handicap qui ne peuvent ou ne souhaitent pas vivre à leur domicile ont la possibilité d’être accueillies dans des établissements médico-sociaux, en fonction de leur besoin.</w:t>
      </w:r>
    </w:p>
    <w:p w14:paraId="257C48CA" w14:textId="29800E14" w:rsidR="00241D12" w:rsidRDefault="00241D12" w:rsidP="00241D12">
      <w:pPr>
        <w:spacing w:after="120" w:line="240" w:lineRule="auto"/>
        <w:jc w:val="both"/>
        <w:rPr>
          <w:rFonts w:eastAsia="Verdana" w:cs="Arial"/>
          <w:sz w:val="28"/>
          <w:szCs w:val="28"/>
          <w:lang w:eastAsia="fr-FR"/>
        </w:rPr>
      </w:pPr>
      <w:r>
        <w:rPr>
          <w:rFonts w:eastAsia="Verdana" w:cs="Arial"/>
          <w:sz w:val="28"/>
          <w:szCs w:val="28"/>
          <w:lang w:eastAsia="fr-FR"/>
        </w:rPr>
        <w:t xml:space="preserve">Les modalités d’accueil sont variées : permanent, temporaire, de jour… </w:t>
      </w:r>
    </w:p>
    <w:p w14:paraId="0BA8A9A6" w14:textId="1AD77B95" w:rsidR="00241D12" w:rsidRPr="00FF6573" w:rsidRDefault="00CD5549" w:rsidP="00241D12">
      <w:pPr>
        <w:pBdr>
          <w:top w:val="single" w:sz="12" w:space="1" w:color="4A4F64"/>
        </w:pBdr>
        <w:spacing w:before="480" w:after="240" w:line="240" w:lineRule="auto"/>
        <w:ind w:right="28"/>
        <w:jc w:val="both"/>
        <w:outlineLvl w:val="0"/>
        <w:rPr>
          <w:rFonts w:eastAsia="Times New Roman" w:cs="Arial"/>
          <w:b/>
          <w:bCs/>
          <w:color w:val="4A08A0"/>
          <w:sz w:val="36"/>
          <w:szCs w:val="36"/>
          <w:lang w:eastAsia="fr-FR"/>
        </w:rPr>
      </w:pPr>
      <w:r w:rsidRPr="00CD5549">
        <w:rPr>
          <w:rFonts w:eastAsia="Times New Roman" w:cs="Arial"/>
          <w:b/>
          <w:bCs/>
          <w:color w:val="4A08A0"/>
          <w:sz w:val="36"/>
          <w:szCs w:val="36"/>
          <w:lang w:eastAsia="fr-FR"/>
        </w:rPr>
        <w:t>2</w:t>
      </w:r>
      <w:r w:rsidRPr="00CD5549">
        <w:rPr>
          <w:rFonts w:eastAsia="Times New Roman" w:cs="Arial"/>
          <w:b/>
          <w:bCs/>
          <w:color w:val="4A08A0"/>
          <w:sz w:val="36"/>
          <w:szCs w:val="36"/>
          <w:lang w:eastAsia="fr-FR"/>
        </w:rPr>
        <w:tab/>
      </w:r>
      <w:r w:rsidR="00241D12" w:rsidRPr="00FF6573">
        <w:rPr>
          <w:rFonts w:eastAsia="Times New Roman" w:cs="Arial"/>
          <w:b/>
          <w:bCs/>
          <w:color w:val="4A08A0"/>
          <w:sz w:val="36"/>
          <w:szCs w:val="36"/>
          <w:lang w:eastAsia="fr-FR"/>
        </w:rPr>
        <w:t xml:space="preserve">Les </w:t>
      </w:r>
      <w:r w:rsidR="00241D12">
        <w:rPr>
          <w:rFonts w:eastAsia="Times New Roman" w:cs="Arial"/>
          <w:b/>
          <w:bCs/>
          <w:color w:val="4A08A0"/>
          <w:sz w:val="36"/>
          <w:szCs w:val="36"/>
          <w:lang w:eastAsia="fr-FR"/>
        </w:rPr>
        <w:t>structures d’hébergement ou d’accueil</w:t>
      </w:r>
    </w:p>
    <w:p w14:paraId="6080EF30" w14:textId="4ACBD8C1" w:rsidR="00241D12" w:rsidRPr="00FF6573" w:rsidRDefault="00CD5549" w:rsidP="00241D12">
      <w:pPr>
        <w:keepNext/>
        <w:numPr>
          <w:ilvl w:val="1"/>
          <w:numId w:val="0"/>
        </w:numPr>
        <w:spacing w:before="360" w:after="240" w:line="240" w:lineRule="auto"/>
        <w:ind w:left="576" w:hanging="576"/>
        <w:jc w:val="both"/>
        <w:outlineLvl w:val="1"/>
        <w:rPr>
          <w:rFonts w:eastAsia="Times New Roman" w:cs="Arial"/>
          <w:b/>
          <w:bCs/>
          <w:color w:val="DD4713"/>
          <w:sz w:val="32"/>
          <w:szCs w:val="32"/>
          <w:lang w:eastAsia="fr-FR"/>
        </w:rPr>
      </w:pPr>
      <w:r w:rsidRPr="00CD5549">
        <w:rPr>
          <w:rFonts w:eastAsia="Times New Roman" w:cs="Arial"/>
          <w:b/>
          <w:bCs/>
          <w:color w:val="DD4713"/>
          <w:sz w:val="32"/>
          <w:szCs w:val="32"/>
          <w:lang w:eastAsia="fr-FR"/>
        </w:rPr>
        <w:t>2.1</w:t>
      </w:r>
      <w:r w:rsidRPr="00CD5549">
        <w:rPr>
          <w:rFonts w:eastAsia="Times New Roman" w:cs="Arial"/>
          <w:b/>
          <w:bCs/>
          <w:color w:val="DD4713"/>
          <w:sz w:val="32"/>
          <w:szCs w:val="32"/>
          <w:lang w:eastAsia="fr-FR"/>
        </w:rPr>
        <w:tab/>
      </w:r>
      <w:r w:rsidR="00241D12">
        <w:rPr>
          <w:rFonts w:eastAsia="Times New Roman" w:cs="Arial"/>
          <w:b/>
          <w:bCs/>
          <w:color w:val="DD4713"/>
          <w:sz w:val="32"/>
          <w:szCs w:val="32"/>
          <w:lang w:eastAsia="fr-FR"/>
        </w:rPr>
        <w:t>Les Foyers d’Accueil Médicalisés (FAM)</w:t>
      </w:r>
    </w:p>
    <w:p w14:paraId="2C4124A9" w14:textId="75AC9F4B" w:rsidR="00241D12" w:rsidRDefault="00241D12" w:rsidP="00241D12">
      <w:pPr>
        <w:spacing w:after="120" w:line="240" w:lineRule="auto"/>
        <w:jc w:val="both"/>
        <w:rPr>
          <w:rFonts w:eastAsia="Verdana" w:cs="Arial"/>
          <w:sz w:val="28"/>
          <w:szCs w:val="28"/>
          <w:lang w:eastAsia="fr-FR"/>
        </w:rPr>
      </w:pPr>
      <w:r>
        <w:rPr>
          <w:rFonts w:eastAsia="Verdana" w:cs="Arial"/>
          <w:sz w:val="28"/>
          <w:szCs w:val="28"/>
          <w:lang w:eastAsia="fr-FR"/>
        </w:rPr>
        <w:t>Etablissements qui accueillent des personnes lourdement handicapées dont la dépendance nécessite le recours à une tierce personne, une surveillance médicale et des soins permanents.</w:t>
      </w:r>
    </w:p>
    <w:p w14:paraId="52307324" w14:textId="338C5E6F" w:rsidR="00241D12" w:rsidRPr="00FF6573" w:rsidRDefault="00CD5549" w:rsidP="00241D12">
      <w:pPr>
        <w:keepNext/>
        <w:numPr>
          <w:ilvl w:val="1"/>
          <w:numId w:val="0"/>
        </w:numPr>
        <w:spacing w:before="360" w:after="240" w:line="240" w:lineRule="auto"/>
        <w:ind w:left="576" w:hanging="576"/>
        <w:jc w:val="both"/>
        <w:outlineLvl w:val="1"/>
        <w:rPr>
          <w:rFonts w:eastAsia="Times New Roman" w:cs="Arial"/>
          <w:b/>
          <w:bCs/>
          <w:color w:val="DD4713"/>
          <w:sz w:val="32"/>
          <w:szCs w:val="32"/>
          <w:lang w:eastAsia="fr-FR"/>
        </w:rPr>
      </w:pPr>
      <w:r w:rsidRPr="00CD5549">
        <w:rPr>
          <w:rFonts w:eastAsia="Times New Roman" w:cs="Arial"/>
          <w:b/>
          <w:bCs/>
          <w:color w:val="DD4713"/>
          <w:sz w:val="32"/>
          <w:szCs w:val="32"/>
          <w:lang w:eastAsia="fr-FR"/>
        </w:rPr>
        <w:t>2.2</w:t>
      </w:r>
      <w:r w:rsidRPr="00CD5549">
        <w:rPr>
          <w:rFonts w:eastAsia="Times New Roman" w:cs="Arial"/>
          <w:b/>
          <w:bCs/>
          <w:color w:val="DD4713"/>
          <w:sz w:val="32"/>
          <w:szCs w:val="32"/>
          <w:lang w:eastAsia="fr-FR"/>
        </w:rPr>
        <w:tab/>
      </w:r>
      <w:r w:rsidR="00241D12">
        <w:rPr>
          <w:rFonts w:eastAsia="Times New Roman" w:cs="Arial"/>
          <w:b/>
          <w:bCs/>
          <w:color w:val="DD4713"/>
          <w:sz w:val="32"/>
          <w:szCs w:val="32"/>
          <w:lang w:eastAsia="fr-FR"/>
        </w:rPr>
        <w:t>Les Maisons d’Accueil Spécialisées (MAS)</w:t>
      </w:r>
    </w:p>
    <w:p w14:paraId="3A4C32C0" w14:textId="7AC7D805" w:rsidR="00241D12" w:rsidRPr="00241D12" w:rsidRDefault="00241D12" w:rsidP="00241D12">
      <w:pPr>
        <w:spacing w:after="120" w:line="240" w:lineRule="auto"/>
        <w:jc w:val="both"/>
        <w:rPr>
          <w:rFonts w:eastAsia="Verdana" w:cs="Arial"/>
          <w:sz w:val="28"/>
          <w:szCs w:val="28"/>
          <w:lang w:eastAsia="fr-FR"/>
        </w:rPr>
      </w:pPr>
      <w:r>
        <w:rPr>
          <w:rFonts w:eastAsia="Verdana" w:cs="Arial"/>
          <w:sz w:val="28"/>
          <w:szCs w:val="28"/>
          <w:lang w:eastAsia="fr-FR"/>
        </w:rPr>
        <w:t>Etablissements qui accueillent des personnes ne pouvant effectuer seules les actes essentiels de la vie, et dont l’état nécessite une surveillance médicale et des soins constants mais non intensifs</w:t>
      </w:r>
      <w:r w:rsidR="00CF72F5">
        <w:rPr>
          <w:rFonts w:eastAsia="Verdana" w:cs="Arial"/>
          <w:sz w:val="28"/>
          <w:szCs w:val="28"/>
          <w:lang w:eastAsia="fr-FR"/>
        </w:rPr>
        <w:t>.</w:t>
      </w:r>
    </w:p>
    <w:p w14:paraId="1843B224" w14:textId="535E4705" w:rsidR="00241D12" w:rsidRPr="00FF6573" w:rsidRDefault="00CD5549" w:rsidP="00241D12">
      <w:pPr>
        <w:keepNext/>
        <w:numPr>
          <w:ilvl w:val="1"/>
          <w:numId w:val="0"/>
        </w:numPr>
        <w:spacing w:before="360" w:after="240" w:line="240" w:lineRule="auto"/>
        <w:ind w:left="576" w:hanging="576"/>
        <w:jc w:val="both"/>
        <w:outlineLvl w:val="1"/>
        <w:rPr>
          <w:rFonts w:eastAsia="Times New Roman" w:cs="Arial"/>
          <w:b/>
          <w:bCs/>
          <w:color w:val="DD4713"/>
          <w:sz w:val="32"/>
          <w:szCs w:val="32"/>
          <w:lang w:eastAsia="fr-FR"/>
        </w:rPr>
      </w:pPr>
      <w:r w:rsidRPr="00CD5549">
        <w:rPr>
          <w:rFonts w:eastAsia="Times New Roman" w:cs="Arial"/>
          <w:b/>
          <w:bCs/>
          <w:color w:val="DD4713"/>
          <w:sz w:val="32"/>
          <w:szCs w:val="32"/>
          <w:lang w:eastAsia="fr-FR"/>
        </w:rPr>
        <w:t>2.3</w:t>
      </w:r>
      <w:r w:rsidRPr="00CD5549">
        <w:rPr>
          <w:rFonts w:eastAsia="Times New Roman" w:cs="Arial"/>
          <w:b/>
          <w:bCs/>
          <w:color w:val="DD4713"/>
          <w:sz w:val="32"/>
          <w:szCs w:val="32"/>
          <w:lang w:eastAsia="fr-FR"/>
        </w:rPr>
        <w:tab/>
      </w:r>
      <w:r w:rsidR="00241D12">
        <w:rPr>
          <w:rFonts w:eastAsia="Times New Roman" w:cs="Arial"/>
          <w:b/>
          <w:bCs/>
          <w:color w:val="DD4713"/>
          <w:sz w:val="32"/>
          <w:szCs w:val="32"/>
          <w:lang w:eastAsia="fr-FR"/>
        </w:rPr>
        <w:t xml:space="preserve">Les </w:t>
      </w:r>
      <w:r w:rsidR="002D549A">
        <w:rPr>
          <w:rFonts w:eastAsia="Times New Roman" w:cs="Arial"/>
          <w:b/>
          <w:bCs/>
          <w:color w:val="DD4713"/>
          <w:sz w:val="32"/>
          <w:szCs w:val="32"/>
          <w:lang w:eastAsia="fr-FR"/>
        </w:rPr>
        <w:t>foyers de vie (ou foyers occupationnels)</w:t>
      </w:r>
    </w:p>
    <w:p w14:paraId="7815C001" w14:textId="6173210D" w:rsidR="00241D12" w:rsidRPr="00FF6573" w:rsidRDefault="00241D12" w:rsidP="00241D12">
      <w:pPr>
        <w:spacing w:after="120" w:line="240" w:lineRule="auto"/>
        <w:jc w:val="both"/>
        <w:rPr>
          <w:rFonts w:eastAsia="Verdana" w:cs="Arial"/>
          <w:sz w:val="28"/>
          <w:szCs w:val="28"/>
          <w:lang w:eastAsia="fr-FR"/>
        </w:rPr>
      </w:pPr>
      <w:r>
        <w:rPr>
          <w:rFonts w:eastAsia="Verdana" w:cs="Arial"/>
          <w:sz w:val="28"/>
          <w:szCs w:val="28"/>
          <w:lang w:eastAsia="fr-FR"/>
        </w:rPr>
        <w:t>Etablissements qui accueillent</w:t>
      </w:r>
      <w:r w:rsidR="002D549A">
        <w:rPr>
          <w:rFonts w:eastAsia="Verdana" w:cs="Arial"/>
          <w:sz w:val="28"/>
          <w:szCs w:val="28"/>
          <w:lang w:eastAsia="fr-FR"/>
        </w:rPr>
        <w:t>, à la journée ou à temps complet, des personnes qui ne sont pas en mesure de travailler mais qui disposent d’une certaine autonomie physique ou intellectuelle.</w:t>
      </w:r>
    </w:p>
    <w:p w14:paraId="7573D7A7" w14:textId="72AC56F8" w:rsidR="00241D12" w:rsidRPr="00FF6573" w:rsidRDefault="00CD5549" w:rsidP="00241D12">
      <w:pPr>
        <w:keepNext/>
        <w:numPr>
          <w:ilvl w:val="1"/>
          <w:numId w:val="0"/>
        </w:numPr>
        <w:spacing w:before="360" w:after="240" w:line="240" w:lineRule="auto"/>
        <w:ind w:left="576" w:hanging="576"/>
        <w:jc w:val="both"/>
        <w:outlineLvl w:val="1"/>
        <w:rPr>
          <w:rFonts w:eastAsia="Times New Roman" w:cs="Arial"/>
          <w:b/>
          <w:bCs/>
          <w:color w:val="DD4713"/>
          <w:sz w:val="32"/>
          <w:szCs w:val="32"/>
          <w:lang w:eastAsia="fr-FR"/>
        </w:rPr>
      </w:pPr>
      <w:r w:rsidRPr="00CD5549">
        <w:rPr>
          <w:rFonts w:eastAsia="Times New Roman" w:cs="Arial"/>
          <w:b/>
          <w:bCs/>
          <w:color w:val="DD4713"/>
          <w:sz w:val="32"/>
          <w:szCs w:val="32"/>
          <w:lang w:eastAsia="fr-FR"/>
        </w:rPr>
        <w:lastRenderedPageBreak/>
        <w:t>2.4</w:t>
      </w:r>
      <w:r w:rsidRPr="00CD5549">
        <w:rPr>
          <w:rFonts w:eastAsia="Times New Roman" w:cs="Arial"/>
          <w:b/>
          <w:bCs/>
          <w:color w:val="DD4713"/>
          <w:sz w:val="32"/>
          <w:szCs w:val="32"/>
          <w:lang w:eastAsia="fr-FR"/>
        </w:rPr>
        <w:tab/>
      </w:r>
      <w:r w:rsidR="00241D12">
        <w:rPr>
          <w:rFonts w:eastAsia="Times New Roman" w:cs="Arial"/>
          <w:b/>
          <w:bCs/>
          <w:color w:val="DD4713"/>
          <w:sz w:val="32"/>
          <w:szCs w:val="32"/>
          <w:lang w:eastAsia="fr-FR"/>
        </w:rPr>
        <w:t xml:space="preserve">Les </w:t>
      </w:r>
      <w:r w:rsidR="002D549A">
        <w:rPr>
          <w:rFonts w:eastAsia="Times New Roman" w:cs="Arial"/>
          <w:b/>
          <w:bCs/>
          <w:color w:val="DD4713"/>
          <w:sz w:val="32"/>
          <w:szCs w:val="32"/>
          <w:lang w:eastAsia="fr-FR"/>
        </w:rPr>
        <w:t>foyers d’hébergement pour les travailleurs handicapés</w:t>
      </w:r>
    </w:p>
    <w:p w14:paraId="16088656" w14:textId="10C4F86C" w:rsidR="002D549A" w:rsidRDefault="00241D12" w:rsidP="00241D12">
      <w:pPr>
        <w:spacing w:after="120" w:line="240" w:lineRule="auto"/>
        <w:jc w:val="both"/>
        <w:rPr>
          <w:rFonts w:eastAsia="Verdana" w:cs="Arial"/>
          <w:sz w:val="28"/>
          <w:szCs w:val="28"/>
          <w:lang w:eastAsia="fr-FR"/>
        </w:rPr>
      </w:pPr>
      <w:r>
        <w:rPr>
          <w:rFonts w:eastAsia="Verdana" w:cs="Arial"/>
          <w:sz w:val="28"/>
          <w:szCs w:val="28"/>
          <w:lang w:eastAsia="fr-FR"/>
        </w:rPr>
        <w:t>Etablissements qui assurent</w:t>
      </w:r>
      <w:r w:rsidR="002D549A">
        <w:rPr>
          <w:rFonts w:eastAsia="Verdana" w:cs="Arial"/>
          <w:sz w:val="28"/>
          <w:szCs w:val="28"/>
          <w:lang w:eastAsia="fr-FR"/>
        </w:rPr>
        <w:t xml:space="preserve"> l’hébergement et l’entretien des travailleurs handicapés exerçant une activité pendant la journée en milieu protégé ou ordinaire.</w:t>
      </w:r>
      <w:r>
        <w:rPr>
          <w:rFonts w:eastAsia="Verdana" w:cs="Arial"/>
          <w:sz w:val="28"/>
          <w:szCs w:val="28"/>
          <w:lang w:eastAsia="fr-FR"/>
        </w:rPr>
        <w:t xml:space="preserve"> </w:t>
      </w:r>
    </w:p>
    <w:p w14:paraId="1C885B00" w14:textId="245BFBB3" w:rsidR="002D549A" w:rsidRPr="002D549A" w:rsidRDefault="00CD5549" w:rsidP="002D549A">
      <w:pPr>
        <w:pBdr>
          <w:top w:val="single" w:sz="12" w:space="1" w:color="4A4F64"/>
        </w:pBdr>
        <w:spacing w:before="480" w:after="240" w:line="240" w:lineRule="auto"/>
        <w:ind w:right="28"/>
        <w:jc w:val="both"/>
        <w:outlineLvl w:val="0"/>
        <w:rPr>
          <w:rFonts w:eastAsia="Times New Roman" w:cs="Arial"/>
          <w:b/>
          <w:bCs/>
          <w:color w:val="4A08A0"/>
          <w:sz w:val="36"/>
          <w:szCs w:val="36"/>
          <w:lang w:eastAsia="fr-FR"/>
        </w:rPr>
      </w:pPr>
      <w:r w:rsidRPr="00CD5549">
        <w:rPr>
          <w:rFonts w:eastAsia="Times New Roman" w:cs="Arial"/>
          <w:b/>
          <w:bCs/>
          <w:color w:val="4A08A0"/>
          <w:sz w:val="36"/>
          <w:szCs w:val="36"/>
          <w:lang w:eastAsia="fr-FR"/>
        </w:rPr>
        <w:t>3</w:t>
      </w:r>
      <w:r w:rsidRPr="00CD5549">
        <w:rPr>
          <w:rFonts w:eastAsia="Times New Roman" w:cs="Arial"/>
          <w:b/>
          <w:bCs/>
          <w:color w:val="4A08A0"/>
          <w:sz w:val="36"/>
          <w:szCs w:val="36"/>
          <w:lang w:eastAsia="fr-FR"/>
        </w:rPr>
        <w:tab/>
      </w:r>
      <w:r w:rsidR="002D549A" w:rsidRPr="00FF6573">
        <w:rPr>
          <w:rFonts w:eastAsia="Times New Roman" w:cs="Arial"/>
          <w:b/>
          <w:bCs/>
          <w:color w:val="4A08A0"/>
          <w:sz w:val="36"/>
          <w:szCs w:val="36"/>
          <w:lang w:eastAsia="fr-FR"/>
        </w:rPr>
        <w:t xml:space="preserve">Les </w:t>
      </w:r>
      <w:r w:rsidR="002D549A">
        <w:rPr>
          <w:rFonts w:eastAsia="Times New Roman" w:cs="Arial"/>
          <w:b/>
          <w:bCs/>
          <w:color w:val="4A08A0"/>
          <w:sz w:val="36"/>
          <w:szCs w:val="36"/>
          <w:lang w:eastAsia="fr-FR"/>
        </w:rPr>
        <w:t>services</w:t>
      </w:r>
    </w:p>
    <w:p w14:paraId="4180518E" w14:textId="5D67A5B8" w:rsidR="00241D12" w:rsidRPr="00FF6573" w:rsidRDefault="00DB2395" w:rsidP="00961A71">
      <w:pPr>
        <w:keepNext/>
        <w:numPr>
          <w:ilvl w:val="1"/>
          <w:numId w:val="0"/>
        </w:numPr>
        <w:spacing w:before="360" w:after="240" w:line="240" w:lineRule="auto"/>
        <w:ind w:left="576" w:hanging="576"/>
        <w:jc w:val="both"/>
        <w:outlineLvl w:val="1"/>
        <w:rPr>
          <w:rFonts w:eastAsia="Times New Roman" w:cs="Arial"/>
          <w:b/>
          <w:bCs/>
          <w:color w:val="DD4713"/>
          <w:sz w:val="32"/>
          <w:szCs w:val="32"/>
          <w:lang w:eastAsia="fr-FR"/>
        </w:rPr>
      </w:pPr>
      <w:r w:rsidRPr="00DB2395">
        <w:rPr>
          <w:rFonts w:eastAsia="Times New Roman" w:cs="Arial"/>
          <w:b/>
          <w:bCs/>
          <w:color w:val="DD4713"/>
          <w:sz w:val="32"/>
          <w:szCs w:val="32"/>
          <w:lang w:eastAsia="fr-FR"/>
        </w:rPr>
        <w:t>3.1</w:t>
      </w:r>
      <w:r w:rsidRPr="00DB2395">
        <w:rPr>
          <w:rFonts w:eastAsia="Times New Roman" w:cs="Arial"/>
          <w:b/>
          <w:bCs/>
          <w:color w:val="DD4713"/>
          <w:sz w:val="32"/>
          <w:szCs w:val="32"/>
          <w:lang w:eastAsia="fr-FR"/>
        </w:rPr>
        <w:tab/>
      </w:r>
      <w:r w:rsidR="00241D12">
        <w:rPr>
          <w:rFonts w:eastAsia="Times New Roman" w:cs="Arial"/>
          <w:b/>
          <w:bCs/>
          <w:color w:val="DD4713"/>
          <w:sz w:val="32"/>
          <w:szCs w:val="32"/>
          <w:lang w:eastAsia="fr-FR"/>
        </w:rPr>
        <w:t xml:space="preserve">Les </w:t>
      </w:r>
      <w:r w:rsidR="002D549A">
        <w:rPr>
          <w:rFonts w:eastAsia="Times New Roman" w:cs="Arial"/>
          <w:b/>
          <w:bCs/>
          <w:color w:val="DD4713"/>
          <w:sz w:val="32"/>
          <w:szCs w:val="32"/>
          <w:lang w:eastAsia="fr-FR"/>
        </w:rPr>
        <w:t>Services d’Accompagnement à la Vie Sociale (SAVS</w:t>
      </w:r>
      <w:r>
        <w:rPr>
          <w:rFonts w:eastAsia="Times New Roman" w:cs="Arial"/>
          <w:b/>
          <w:bCs/>
          <w:color w:val="DD4713"/>
          <w:sz w:val="32"/>
          <w:szCs w:val="32"/>
          <w:lang w:eastAsia="fr-FR"/>
        </w:rPr>
        <w:t>)</w:t>
      </w:r>
    </w:p>
    <w:p w14:paraId="4FCAFB32" w14:textId="5FB73F0F" w:rsidR="002D549A" w:rsidRDefault="002D549A" w:rsidP="00961A71">
      <w:pPr>
        <w:spacing w:after="120" w:line="240" w:lineRule="auto"/>
        <w:jc w:val="both"/>
        <w:rPr>
          <w:rFonts w:eastAsia="Verdana" w:cs="Arial"/>
          <w:sz w:val="28"/>
          <w:szCs w:val="28"/>
          <w:lang w:eastAsia="fr-FR"/>
        </w:rPr>
      </w:pPr>
      <w:r>
        <w:rPr>
          <w:rFonts w:eastAsia="Verdana" w:cs="Arial"/>
          <w:sz w:val="28"/>
          <w:szCs w:val="28"/>
          <w:lang w:eastAsia="fr-FR"/>
        </w:rPr>
        <w:t>Services ayant pour mission d’accompagner la personne handicapée, dans le cadre de son insertion en milieu ordinaire. Le SAVS assure un suivi individualisé de la personne notamment en l’aidant dans ses différentes démarches d’ordre professionnel, administratif ou personnel.</w:t>
      </w:r>
    </w:p>
    <w:p w14:paraId="1F99C169" w14:textId="78E76D40" w:rsidR="00241D12" w:rsidRPr="00FF6573" w:rsidRDefault="00DB2395" w:rsidP="00961A71">
      <w:pPr>
        <w:keepNext/>
        <w:numPr>
          <w:ilvl w:val="1"/>
          <w:numId w:val="0"/>
        </w:numPr>
        <w:spacing w:before="360" w:after="240" w:line="240" w:lineRule="auto"/>
        <w:jc w:val="both"/>
        <w:outlineLvl w:val="1"/>
        <w:rPr>
          <w:rFonts w:eastAsia="Times New Roman" w:cs="Arial"/>
          <w:b/>
          <w:bCs/>
          <w:color w:val="DD4713"/>
          <w:sz w:val="32"/>
          <w:szCs w:val="32"/>
          <w:lang w:eastAsia="fr-FR"/>
        </w:rPr>
      </w:pPr>
      <w:r w:rsidRPr="00DB2395">
        <w:rPr>
          <w:rFonts w:eastAsia="Times New Roman" w:cs="Arial"/>
          <w:b/>
          <w:bCs/>
          <w:color w:val="DD4713"/>
          <w:sz w:val="32"/>
          <w:szCs w:val="32"/>
          <w:lang w:eastAsia="fr-FR"/>
        </w:rPr>
        <w:t>3.2</w:t>
      </w:r>
      <w:r w:rsidRPr="00DB2395">
        <w:rPr>
          <w:rFonts w:eastAsia="Times New Roman" w:cs="Arial"/>
          <w:b/>
          <w:bCs/>
          <w:color w:val="DD4713"/>
          <w:sz w:val="32"/>
          <w:szCs w:val="32"/>
          <w:lang w:eastAsia="fr-FR"/>
        </w:rPr>
        <w:tab/>
      </w:r>
      <w:r w:rsidR="008914F5">
        <w:rPr>
          <w:rFonts w:eastAsia="Times New Roman" w:cs="Arial"/>
          <w:b/>
          <w:bCs/>
          <w:color w:val="DD4713"/>
          <w:sz w:val="32"/>
          <w:szCs w:val="32"/>
          <w:lang w:eastAsia="fr-FR"/>
        </w:rPr>
        <w:t>Les Services d’Accompagnement Médico-Social pour Adultes Handicapés (SAMSAH)</w:t>
      </w:r>
    </w:p>
    <w:p w14:paraId="2F79CB1D" w14:textId="13FB1D69" w:rsidR="008914F5" w:rsidRDefault="008914F5" w:rsidP="00961A71">
      <w:pPr>
        <w:spacing w:after="120" w:line="240" w:lineRule="auto"/>
        <w:jc w:val="both"/>
        <w:rPr>
          <w:rFonts w:eastAsia="Verdana" w:cs="Arial"/>
          <w:sz w:val="28"/>
          <w:szCs w:val="28"/>
          <w:lang w:eastAsia="fr-FR"/>
        </w:rPr>
      </w:pPr>
      <w:r>
        <w:rPr>
          <w:rFonts w:eastAsia="Verdana" w:cs="Arial"/>
          <w:sz w:val="28"/>
          <w:szCs w:val="28"/>
          <w:lang w:eastAsia="fr-FR"/>
        </w:rPr>
        <w:t>Services assumant les mêmes missions que les SAVS mais dans le cadre d’un accompagnement médico-social adapté comportant des prestations de soins.</w:t>
      </w:r>
    </w:p>
    <w:p w14:paraId="23A3FB65" w14:textId="77777777" w:rsidR="00CF72F5" w:rsidRDefault="00CF72F5" w:rsidP="00961A71">
      <w:pPr>
        <w:spacing w:after="120" w:line="240" w:lineRule="auto"/>
        <w:jc w:val="both"/>
        <w:rPr>
          <w:rFonts w:eastAsia="Verdana" w:cs="Arial"/>
          <w:sz w:val="28"/>
          <w:szCs w:val="28"/>
          <w:lang w:eastAsia="fr-FR"/>
        </w:rPr>
      </w:pPr>
    </w:p>
    <w:p w14:paraId="22BED323" w14:textId="7DED249D" w:rsidR="008914F5" w:rsidRDefault="008914F5" w:rsidP="00961A71">
      <w:pPr>
        <w:spacing w:after="120" w:line="240" w:lineRule="auto"/>
        <w:jc w:val="both"/>
        <w:rPr>
          <w:rFonts w:eastAsia="Verdana" w:cs="Arial"/>
          <w:sz w:val="28"/>
          <w:szCs w:val="28"/>
          <w:lang w:eastAsia="fr-FR"/>
        </w:rPr>
      </w:pPr>
      <w:r>
        <w:rPr>
          <w:rFonts w:eastAsia="Verdana" w:cs="Arial"/>
          <w:sz w:val="28"/>
          <w:szCs w:val="28"/>
          <w:lang w:eastAsia="fr-FR"/>
        </w:rPr>
        <w:t>Une fois l’accord d’orientation notifié, il appartient à la personne handicapée de contacter les établissements susceptibles de l’accueillir.</w:t>
      </w:r>
    </w:p>
    <w:p w14:paraId="522DCE1C" w14:textId="10E883F8" w:rsidR="00BE37C4" w:rsidRDefault="00241D12" w:rsidP="00BE37C4">
      <w:pPr>
        <w:spacing w:after="120" w:line="240" w:lineRule="auto"/>
        <w:jc w:val="both"/>
        <w:rPr>
          <w:rFonts w:eastAsia="Verdana" w:cs="Arial"/>
          <w:sz w:val="28"/>
          <w:szCs w:val="28"/>
          <w:lang w:eastAsia="fr-FR"/>
        </w:rPr>
      </w:pPr>
      <w:r>
        <w:rPr>
          <w:rFonts w:eastAsia="Verdana" w:cs="Arial"/>
          <w:sz w:val="28"/>
          <w:szCs w:val="28"/>
          <w:lang w:eastAsia="fr-FR"/>
        </w:rPr>
        <w:t>Une fois l’accord d’orientation notifié, il appartient aux parents (ou tuteurs légaux) de contacter les établissements susceptibles d’accueillir l’enfant.</w:t>
      </w:r>
    </w:p>
    <w:sectPr w:rsidR="00BE37C4" w:rsidSect="00CB7119">
      <w:headerReference w:type="default" r:id="rId10"/>
      <w:footerReference w:type="even"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BF65" w14:textId="77777777" w:rsidR="007E4670" w:rsidRDefault="007E4670" w:rsidP="008914F5">
      <w:pPr>
        <w:spacing w:after="0" w:line="240" w:lineRule="auto"/>
      </w:pPr>
      <w:r>
        <w:separator/>
      </w:r>
    </w:p>
  </w:endnote>
  <w:endnote w:type="continuationSeparator" w:id="0">
    <w:p w14:paraId="0C2A94EB" w14:textId="77777777" w:rsidR="007E4670" w:rsidRDefault="007E4670" w:rsidP="0089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2E80" w14:textId="77777777" w:rsidR="009B39C8" w:rsidRDefault="00A509FC" w:rsidP="002A6826">
    <w:pPr>
      <w:pStyle w:val="Pieddepage"/>
    </w:pPr>
    <w:r>
      <w:fldChar w:fldCharType="begin"/>
    </w:r>
    <w:r>
      <w:instrText xml:space="preserve"> PAGE </w:instrText>
    </w:r>
    <w:r>
      <w:fldChar w:fldCharType="separate"/>
    </w:r>
    <w:r>
      <w:rPr>
        <w:noProof/>
      </w:rPr>
      <w:t>2</w:t>
    </w:r>
    <w:r>
      <w:rPr>
        <w:noProof/>
      </w:rPr>
      <w:fldChar w:fldCharType="end"/>
    </w:r>
    <w:r w:rsidRPr="00082D89">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430"/>
      <w:docPartObj>
        <w:docPartGallery w:val="Page Numbers (Bottom of Page)"/>
        <w:docPartUnique/>
      </w:docPartObj>
    </w:sdtPr>
    <w:sdtEndPr/>
    <w:sdtContent>
      <w:p w14:paraId="467E053F" w14:textId="77777777" w:rsidR="002D33E6" w:rsidRDefault="002D33E6">
        <w:pPr>
          <w:pStyle w:val="Pieddepage"/>
          <w:jc w:val="center"/>
        </w:pPr>
      </w:p>
      <w:tbl>
        <w:tblPr>
          <w:tblW w:w="5000" w:type="pct"/>
          <w:tblBorders>
            <w:top w:val="single" w:sz="18" w:space="0" w:color="808080"/>
            <w:insideV w:val="single" w:sz="18" w:space="0" w:color="808080"/>
          </w:tblBorders>
          <w:tblLook w:val="04A0" w:firstRow="1" w:lastRow="0" w:firstColumn="1" w:lastColumn="0" w:noHBand="0" w:noVBand="1"/>
        </w:tblPr>
        <w:tblGrid>
          <w:gridCol w:w="940"/>
          <w:gridCol w:w="8132"/>
        </w:tblGrid>
        <w:tr w:rsidR="002D33E6" w14:paraId="5D092131" w14:textId="77777777" w:rsidTr="006E7773">
          <w:tc>
            <w:tcPr>
              <w:tcW w:w="918" w:type="dxa"/>
            </w:tcPr>
            <w:p w14:paraId="6B9C173A" w14:textId="77777777" w:rsidR="002D33E6" w:rsidRPr="003635D9" w:rsidRDefault="002D33E6" w:rsidP="002D33E6">
              <w:pPr>
                <w:pStyle w:val="Pieddepage"/>
                <w:jc w:val="right"/>
                <w:rPr>
                  <w:b/>
                  <w:bCs/>
                  <w:color w:val="4F81BD"/>
                  <w:sz w:val="32"/>
                  <w:szCs w:val="32"/>
                  <w14:numForm w14:val="oldStyle"/>
                </w:rPr>
              </w:pPr>
              <w:r w:rsidRPr="003635D9">
                <w:rPr>
                  <w:sz w:val="16"/>
                  <w:szCs w:val="21"/>
                  <w14:shadow w14:blurRad="50800" w14:dist="38100" w14:dir="2700000" w14:sx="100000" w14:sy="100000" w14:kx="0" w14:ky="0" w14:algn="tl">
                    <w14:srgbClr w14:val="000000">
                      <w14:alpha w14:val="60000"/>
                    </w14:srgbClr>
                  </w14:shadow>
                  <w14:numForm w14:val="oldStyle"/>
                </w:rPr>
                <w:fldChar w:fldCharType="begin"/>
              </w:r>
              <w:r w:rsidRPr="007641E5">
                <w:rPr>
                  <w:sz w:val="10"/>
                  <w14:shadow w14:blurRad="50800" w14:dist="38100" w14:dir="2700000" w14:sx="100000" w14:sy="100000" w14:kx="0" w14:ky="0" w14:algn="tl">
                    <w14:srgbClr w14:val="000000">
                      <w14:alpha w14:val="60000"/>
                    </w14:srgbClr>
                  </w14:shadow>
                  <w14:numForm w14:val="oldStyle"/>
                </w:rPr>
                <w:instrText>PAGE   \* MERGEFORMAT</w:instrText>
              </w:r>
              <w:r w:rsidRPr="003635D9">
                <w:rPr>
                  <w:sz w:val="16"/>
                  <w:szCs w:val="21"/>
                  <w14:shadow w14:blurRad="50800" w14:dist="38100" w14:dir="2700000" w14:sx="100000" w14:sy="100000" w14:kx="0" w14:ky="0" w14:algn="tl">
                    <w14:srgbClr w14:val="000000">
                      <w14:alpha w14:val="60000"/>
                    </w14:srgbClr>
                  </w14:shadow>
                  <w14:numForm w14:val="oldStyle"/>
                </w:rPr>
                <w:fldChar w:fldCharType="separate"/>
              </w:r>
              <w:r>
                <w:rPr>
                  <w:sz w:val="16"/>
                  <w:szCs w:val="21"/>
                  <w14:shadow w14:blurRad="50800" w14:dist="38100" w14:dir="2700000" w14:sx="100000" w14:sy="100000" w14:kx="0" w14:ky="0" w14:algn="tl">
                    <w14:srgbClr w14:val="000000">
                      <w14:alpha w14:val="60000"/>
                    </w14:srgbClr>
                  </w14:shadow>
                  <w14:numForm w14:val="oldStyle"/>
                </w:rPr>
                <w:t>1</w:t>
              </w:r>
              <w:r w:rsidRPr="003635D9">
                <w:rPr>
                  <w:b/>
                  <w:bCs/>
                  <w:color w:val="4F81BD"/>
                  <w:sz w:val="2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E340800" w14:textId="19E5B011" w:rsidR="002D33E6" w:rsidRDefault="002D33E6" w:rsidP="002D33E6">
              <w:r>
                <w:t>Fiche Orientations Médico-Sociales Adultes</w:t>
              </w:r>
            </w:p>
            <w:p w14:paraId="0D23D2A0" w14:textId="58EEB4F8" w:rsidR="002D33E6" w:rsidRDefault="002D33E6" w:rsidP="002D33E6">
              <w:pPr>
                <w:rPr>
                  <w:sz w:val="22"/>
                </w:rPr>
              </w:pPr>
              <w:r>
                <w:rPr>
                  <w:sz w:val="22"/>
                </w:rPr>
                <w:t>SSJ</w:t>
              </w:r>
            </w:p>
            <w:p w14:paraId="325409CF" w14:textId="28CAA5BE" w:rsidR="00CF72F5" w:rsidRPr="00350ADF" w:rsidRDefault="00CF72F5" w:rsidP="002D33E6">
              <w:pPr>
                <w:rPr>
                  <w:sz w:val="22"/>
                </w:rPr>
              </w:pPr>
              <w:r>
                <w:rPr>
                  <w:sz w:val="22"/>
                </w:rPr>
                <w:t>Octobre</w:t>
              </w:r>
              <w:r w:rsidR="002D33E6">
                <w:rPr>
                  <w:sz w:val="22"/>
                </w:rPr>
                <w:t xml:space="preserve"> 2020</w:t>
              </w:r>
            </w:p>
          </w:tc>
        </w:tr>
      </w:tbl>
      <w:p w14:paraId="424B2A38" w14:textId="77777777" w:rsidR="002D33E6" w:rsidRPr="003635D9" w:rsidRDefault="002D33E6" w:rsidP="002D33E6">
        <w:pPr>
          <w:pStyle w:val="Pieddepage"/>
          <w:rPr>
            <w:color w:val="0F243E"/>
            <w:sz w:val="8"/>
          </w:rPr>
        </w:pPr>
      </w:p>
      <w:p w14:paraId="0491D73A" w14:textId="5F367046" w:rsidR="007371A5" w:rsidRDefault="007E4670">
        <w:pPr>
          <w:pStyle w:val="Pieddepage"/>
          <w:jc w:val="center"/>
        </w:pPr>
      </w:p>
    </w:sdtContent>
  </w:sdt>
  <w:p w14:paraId="2B6B3FB9" w14:textId="77777777" w:rsidR="009B39C8" w:rsidRPr="00FF6573" w:rsidRDefault="007E4670" w:rsidP="007641E5">
    <w:pPr>
      <w:pStyle w:val="Pieddepage"/>
      <w:rPr>
        <w:color w:val="0F243E"/>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625D5" w14:textId="77777777" w:rsidR="007E4670" w:rsidRDefault="007E4670" w:rsidP="008914F5">
      <w:pPr>
        <w:spacing w:after="0" w:line="240" w:lineRule="auto"/>
      </w:pPr>
      <w:r>
        <w:separator/>
      </w:r>
    </w:p>
  </w:footnote>
  <w:footnote w:type="continuationSeparator" w:id="0">
    <w:p w14:paraId="0C431C9C" w14:textId="77777777" w:rsidR="007E4670" w:rsidRDefault="007E4670" w:rsidP="00891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C622" w14:textId="77777777" w:rsidR="005B7D1E" w:rsidRDefault="00A509FC">
    <w:pPr>
      <w:pStyle w:val="En-tte"/>
    </w:pPr>
    <w:r>
      <w:rPr>
        <w:noProof/>
      </w:rPr>
      <w:drawing>
        <wp:inline distT="0" distB="0" distL="0" distR="0" wp14:anchorId="44D11678" wp14:editId="11F4E37C">
          <wp:extent cx="2228850" cy="1209675"/>
          <wp:effectExtent l="0" t="0" r="0" b="9525"/>
          <wp:docPr id="1" name="Image 1" descr="Logo Valentin Haüy&#10;Avec les aveugles et les malvoy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Valentin Haüy&#10;Avec les aveugles et les malvoya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81358"/>
    <w:multiLevelType w:val="hybridMultilevel"/>
    <w:tmpl w:val="7A824C0E"/>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12"/>
    <w:rsid w:val="0011314B"/>
    <w:rsid w:val="00241D12"/>
    <w:rsid w:val="002D33E6"/>
    <w:rsid w:val="002D549A"/>
    <w:rsid w:val="007371A5"/>
    <w:rsid w:val="007770FC"/>
    <w:rsid w:val="007E4670"/>
    <w:rsid w:val="008914F5"/>
    <w:rsid w:val="00953FEA"/>
    <w:rsid w:val="00961A71"/>
    <w:rsid w:val="00A509FC"/>
    <w:rsid w:val="00BE37C4"/>
    <w:rsid w:val="00CD5549"/>
    <w:rsid w:val="00CF3DD5"/>
    <w:rsid w:val="00CF72F5"/>
    <w:rsid w:val="00DB23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0665"/>
  <w15:chartTrackingRefBased/>
  <w15:docId w15:val="{4291DEAE-CAF8-46BF-91AF-AE183AEF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D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41D12"/>
    <w:pPr>
      <w:spacing w:after="0" w:line="240" w:lineRule="auto"/>
    </w:pPr>
  </w:style>
  <w:style w:type="paragraph" w:styleId="En-tte">
    <w:name w:val="header"/>
    <w:basedOn w:val="Normal"/>
    <w:link w:val="En-tteCar"/>
    <w:uiPriority w:val="99"/>
    <w:unhideWhenUsed/>
    <w:rsid w:val="00241D12"/>
    <w:pPr>
      <w:tabs>
        <w:tab w:val="center" w:pos="4536"/>
        <w:tab w:val="right" w:pos="9072"/>
      </w:tabs>
      <w:spacing w:after="0" w:line="240" w:lineRule="auto"/>
    </w:pPr>
  </w:style>
  <w:style w:type="character" w:customStyle="1" w:styleId="En-tteCar">
    <w:name w:val="En-tête Car"/>
    <w:basedOn w:val="Policepardfaut"/>
    <w:link w:val="En-tte"/>
    <w:uiPriority w:val="99"/>
    <w:rsid w:val="00241D12"/>
  </w:style>
  <w:style w:type="paragraph" w:styleId="Pieddepage">
    <w:name w:val="footer"/>
    <w:basedOn w:val="Normal"/>
    <w:link w:val="PieddepageCar"/>
    <w:uiPriority w:val="99"/>
    <w:unhideWhenUsed/>
    <w:rsid w:val="00241D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1D12"/>
  </w:style>
  <w:style w:type="paragraph" w:styleId="Paragraphedeliste">
    <w:name w:val="List Paragraph"/>
    <w:basedOn w:val="Normal"/>
    <w:uiPriority w:val="34"/>
    <w:qFormat/>
    <w:rsid w:val="00241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4A74B32198EC45B142454AE5A56002" ma:contentTypeVersion="2" ma:contentTypeDescription="Crée un document." ma:contentTypeScope="" ma:versionID="01e44878a5eb32336a9b29666e2980dd">
  <xsd:schema xmlns:xsd="http://www.w3.org/2001/XMLSchema" xmlns:xs="http://www.w3.org/2001/XMLSchema" xmlns:p="http://schemas.microsoft.com/office/2006/metadata/properties" xmlns:ns3="6093d94e-e413-46fc-9c4e-9049d2148f61" targetNamespace="http://schemas.microsoft.com/office/2006/metadata/properties" ma:root="true" ma:fieldsID="7016dd850b6c1a4ded84d1387a40b76d" ns3:_="">
    <xsd:import namespace="6093d94e-e413-46fc-9c4e-9049d2148f6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3d94e-e413-46fc-9c4e-9049d2148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844E3-333C-4A25-9F35-14BCEB1C3014}">
  <ds:schemaRefs>
    <ds:schemaRef ds:uri="http://schemas.microsoft.com/sharepoint/v3/contenttype/forms"/>
  </ds:schemaRefs>
</ds:datastoreItem>
</file>

<file path=customXml/itemProps2.xml><?xml version="1.0" encoding="utf-8"?>
<ds:datastoreItem xmlns:ds="http://schemas.openxmlformats.org/officeDocument/2006/customXml" ds:itemID="{467CD6B1-649D-4C2A-8200-9B2CC7CBEB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98DDD0-4D1E-4F04-BB56-83DB0CD8D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3d94e-e413-46fc-9c4e-9049d2148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1851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DEBONNAIRE Corinne</dc:creator>
  <cp:keywords/>
  <dc:description/>
  <cp:lastModifiedBy>Marc-Antoine Bonnet</cp:lastModifiedBy>
  <cp:revision>2</cp:revision>
  <dcterms:created xsi:type="dcterms:W3CDTF">2021-04-22T15:19:00Z</dcterms:created>
  <dcterms:modified xsi:type="dcterms:W3CDTF">2021-04-22T15:19:00Z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0x010100C24A74B32198EC45B142454AE5A56002</vt:lpwstr>
  </property>
</Properties>
</file>