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A991" w14:textId="77777777" w:rsidR="00FF6573" w:rsidRPr="00FF6573" w:rsidRDefault="00FF6573" w:rsidP="00FF6573">
      <w:pPr>
        <w:spacing w:after="0" w:line="240" w:lineRule="auto"/>
        <w:rPr>
          <w:rFonts w:eastAsia="Arial" w:cs="Times New Roman"/>
          <w:sz w:val="22"/>
          <w:lang w:eastAsia="fr-FR"/>
        </w:rPr>
      </w:pPr>
    </w:p>
    <w:p w14:paraId="338EF52C" w14:textId="77777777" w:rsidR="00FF6573" w:rsidRPr="00FF6573" w:rsidRDefault="00FF6573" w:rsidP="00FF6573">
      <w:pPr>
        <w:spacing w:after="0" w:line="240" w:lineRule="auto"/>
        <w:rPr>
          <w:rFonts w:eastAsia="Arial" w:cs="Times New Roman"/>
          <w:sz w:val="22"/>
          <w:lang w:eastAsia="fr-FR"/>
        </w:rPr>
      </w:pPr>
    </w:p>
    <w:p w14:paraId="0E605621" w14:textId="77777777" w:rsidR="00FF6573" w:rsidRPr="00FF6573" w:rsidRDefault="00FF6573" w:rsidP="00FF6573">
      <w:pPr>
        <w:spacing w:after="0" w:line="240" w:lineRule="auto"/>
        <w:rPr>
          <w:rFonts w:eastAsia="Arial" w:cs="Times New Roman"/>
          <w:sz w:val="22"/>
          <w:lang w:eastAsia="fr-FR"/>
        </w:rPr>
      </w:pPr>
    </w:p>
    <w:p w14:paraId="20D4EBDC" w14:textId="0A4EBCAA" w:rsidR="00FF6573" w:rsidRPr="00FF6573" w:rsidRDefault="00FF6573" w:rsidP="00FF6573">
      <w:pPr>
        <w:spacing w:after="300" w:line="240" w:lineRule="auto"/>
        <w:contextualSpacing/>
        <w:jc w:val="center"/>
        <w:rPr>
          <w:rFonts w:eastAsia="Times New Roman" w:cs="Arial"/>
          <w:b/>
          <w:color w:val="632B8D"/>
          <w:spacing w:val="5"/>
          <w:kern w:val="28"/>
          <w:sz w:val="40"/>
          <w:szCs w:val="40"/>
          <w:lang w:eastAsia="fr-FR"/>
        </w:rPr>
      </w:pPr>
      <w:r>
        <w:rPr>
          <w:rFonts w:eastAsia="Times New Roman" w:cs="Arial"/>
          <w:b/>
          <w:color w:val="632B8D"/>
          <w:spacing w:val="5"/>
          <w:kern w:val="28"/>
          <w:sz w:val="40"/>
          <w:szCs w:val="40"/>
          <w:lang w:eastAsia="fr-FR"/>
        </w:rPr>
        <w:t>Orientations Médico-Sociales Enfants</w:t>
      </w:r>
    </w:p>
    <w:p w14:paraId="23690F6B" w14:textId="77777777" w:rsidR="00FF6573" w:rsidRPr="00FF6573" w:rsidRDefault="00FF6573" w:rsidP="00FF6573">
      <w:pPr>
        <w:spacing w:after="0" w:line="240" w:lineRule="auto"/>
        <w:rPr>
          <w:rFonts w:eastAsia="Arial" w:cs="Times New Roman"/>
          <w:sz w:val="22"/>
          <w:lang w:eastAsia="fr-FR"/>
        </w:rPr>
      </w:pPr>
    </w:p>
    <w:p w14:paraId="10815411" w14:textId="77777777" w:rsidR="00FF6573" w:rsidRPr="00FF6573" w:rsidRDefault="00FF6573" w:rsidP="00FF6573">
      <w:pPr>
        <w:spacing w:after="0" w:line="240" w:lineRule="auto"/>
        <w:rPr>
          <w:rFonts w:eastAsia="Arial" w:cs="Times New Roman"/>
          <w:sz w:val="22"/>
          <w:lang w:eastAsia="fr-FR"/>
        </w:rPr>
      </w:pPr>
    </w:p>
    <w:p w14:paraId="4C82BBA2" w14:textId="65B7945C" w:rsidR="00FF6573" w:rsidRPr="00FF6573" w:rsidRDefault="00A12F12" w:rsidP="00FF6573">
      <w:pPr>
        <w:pBdr>
          <w:top w:val="single" w:sz="12" w:space="1" w:color="4A4F64"/>
        </w:pBdr>
        <w:spacing w:before="480" w:after="240" w:line="240" w:lineRule="auto"/>
        <w:ind w:left="432" w:right="28" w:hanging="432"/>
        <w:jc w:val="both"/>
        <w:outlineLvl w:val="0"/>
        <w:rPr>
          <w:rFonts w:eastAsia="Times New Roman" w:cs="Arial"/>
          <w:b/>
          <w:bCs/>
          <w:color w:val="4A08A0"/>
          <w:sz w:val="36"/>
          <w:szCs w:val="36"/>
          <w:lang w:eastAsia="fr-FR"/>
        </w:rPr>
      </w:pPr>
      <w:r w:rsidRPr="00A12F12">
        <w:rPr>
          <w:rFonts w:eastAsia="Times New Roman" w:cs="Arial"/>
          <w:b/>
          <w:bCs/>
          <w:color w:val="4A08A0"/>
          <w:sz w:val="36"/>
          <w:szCs w:val="36"/>
          <w:lang w:eastAsia="fr-FR"/>
        </w:rPr>
        <w:t>1</w:t>
      </w:r>
      <w:r w:rsidRPr="00A12F12">
        <w:rPr>
          <w:rFonts w:eastAsia="Times New Roman" w:cs="Arial"/>
          <w:b/>
          <w:bCs/>
          <w:color w:val="4A08A0"/>
          <w:sz w:val="36"/>
          <w:szCs w:val="36"/>
          <w:lang w:eastAsia="fr-FR"/>
        </w:rPr>
        <w:tab/>
        <w:t>De quoi s’agit-il ?</w:t>
      </w:r>
    </w:p>
    <w:p w14:paraId="3355002B" w14:textId="7D6B3D91" w:rsidR="00FF6573" w:rsidRPr="00FF6573" w:rsidRDefault="00FF6573" w:rsidP="00FF657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Les établissements médico-sociaux accueillent des enfants et des adolescents handicapés. Ils sont organisés différemment selon l’âge et proposent des modalités d’accueil variées : internat, externat, à temps plein, partiel…</w:t>
      </w:r>
    </w:p>
    <w:p w14:paraId="5EF4368E" w14:textId="157B891C" w:rsidR="00FF6573" w:rsidRPr="00FF6573" w:rsidRDefault="00A12F12" w:rsidP="00FF6573">
      <w:pPr>
        <w:pBdr>
          <w:top w:val="single" w:sz="12" w:space="1" w:color="4A4F64"/>
        </w:pBdr>
        <w:spacing w:before="480" w:after="240" w:line="240" w:lineRule="auto"/>
        <w:ind w:right="28"/>
        <w:jc w:val="both"/>
        <w:outlineLvl w:val="0"/>
        <w:rPr>
          <w:rFonts w:eastAsia="Times New Roman" w:cs="Arial"/>
          <w:b/>
          <w:bCs/>
          <w:color w:val="4A08A0"/>
          <w:sz w:val="36"/>
          <w:szCs w:val="36"/>
          <w:lang w:eastAsia="fr-FR"/>
        </w:rPr>
      </w:pPr>
      <w:r w:rsidRPr="00A12F12">
        <w:rPr>
          <w:rFonts w:eastAsia="Times New Roman" w:cs="Arial"/>
          <w:b/>
          <w:bCs/>
          <w:color w:val="4A08A0"/>
          <w:sz w:val="36"/>
          <w:szCs w:val="36"/>
          <w:lang w:eastAsia="fr-FR"/>
        </w:rPr>
        <w:t>2</w:t>
      </w:r>
      <w:r w:rsidRPr="00A12F12">
        <w:rPr>
          <w:rFonts w:eastAsia="Times New Roman" w:cs="Arial"/>
          <w:b/>
          <w:bCs/>
          <w:color w:val="4A08A0"/>
          <w:sz w:val="36"/>
          <w:szCs w:val="36"/>
          <w:lang w:eastAsia="fr-FR"/>
        </w:rPr>
        <w:tab/>
      </w:r>
      <w:r w:rsidR="00FF6573" w:rsidRPr="00FF6573">
        <w:rPr>
          <w:rFonts w:eastAsia="Times New Roman" w:cs="Arial"/>
          <w:b/>
          <w:bCs/>
          <w:color w:val="4A08A0"/>
          <w:sz w:val="36"/>
          <w:szCs w:val="36"/>
          <w:lang w:eastAsia="fr-FR"/>
        </w:rPr>
        <w:t xml:space="preserve">Les </w:t>
      </w:r>
      <w:r w:rsidR="00FF6573">
        <w:rPr>
          <w:rFonts w:eastAsia="Times New Roman" w:cs="Arial"/>
          <w:b/>
          <w:bCs/>
          <w:color w:val="4A08A0"/>
          <w:sz w:val="36"/>
          <w:szCs w:val="36"/>
          <w:lang w:eastAsia="fr-FR"/>
        </w:rPr>
        <w:t>Etablissements et services médico-sociaux pour enfants</w:t>
      </w:r>
    </w:p>
    <w:p w14:paraId="59DDC39F" w14:textId="027DC1B1" w:rsidR="00FF6573" w:rsidRPr="00FF6573" w:rsidRDefault="00A12F12" w:rsidP="00FF6573">
      <w:pPr>
        <w:keepNext/>
        <w:numPr>
          <w:ilvl w:val="1"/>
          <w:numId w:val="0"/>
        </w:numPr>
        <w:spacing w:before="360" w:after="240" w:line="240" w:lineRule="auto"/>
        <w:ind w:left="576" w:hanging="576"/>
        <w:jc w:val="both"/>
        <w:outlineLvl w:val="1"/>
        <w:rPr>
          <w:rFonts w:eastAsia="Times New Roman" w:cs="Arial"/>
          <w:b/>
          <w:bCs/>
          <w:color w:val="DD4713"/>
          <w:sz w:val="32"/>
          <w:szCs w:val="32"/>
          <w:lang w:eastAsia="fr-FR"/>
        </w:rPr>
      </w:pP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2.1</w:t>
      </w: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ab/>
      </w:r>
      <w:r w:rsidR="00FF6573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 xml:space="preserve">Les Instituts </w:t>
      </w:r>
      <w:proofErr w:type="spellStart"/>
      <w:r w:rsidR="00FF6573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Médico-Educatifs</w:t>
      </w:r>
      <w:proofErr w:type="spellEnd"/>
      <w:r w:rsidR="00FF6573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 xml:space="preserve"> (IME) : </w:t>
      </w:r>
    </w:p>
    <w:p w14:paraId="0FE1F033" w14:textId="77777777" w:rsidR="009230D3" w:rsidRDefault="00FF6573" w:rsidP="00FF657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 xml:space="preserve">Etablissements qui dispensent une éducation et un enseignement spécialisés pour des enfants et adolescents atteints de déficience intellectuelle (et </w:t>
      </w:r>
      <w:r w:rsidR="009230D3">
        <w:rPr>
          <w:rFonts w:eastAsia="Verdana" w:cs="Arial"/>
          <w:sz w:val="28"/>
          <w:szCs w:val="28"/>
          <w:lang w:eastAsia="fr-FR"/>
        </w:rPr>
        <w:t>handicaps associés).</w:t>
      </w:r>
    </w:p>
    <w:p w14:paraId="7807B8C8" w14:textId="77777777" w:rsidR="009230D3" w:rsidRDefault="009230D3" w:rsidP="00FF657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Ils regroupent :</w:t>
      </w:r>
    </w:p>
    <w:p w14:paraId="7B246F53" w14:textId="070A5996" w:rsidR="009230D3" w:rsidRDefault="009230D3" w:rsidP="009230D3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Les Instituts Médico-Pédagogiques (IMP) qui assurent l’éducation, les soins et l’enseignement aux enfants déficients intellectuels (et handicaps associés).</w:t>
      </w:r>
    </w:p>
    <w:p w14:paraId="2DFD7C56" w14:textId="21AA2D2D" w:rsidR="00FF6573" w:rsidRPr="009230D3" w:rsidRDefault="009230D3" w:rsidP="009230D3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 xml:space="preserve">Les Instituts Médico-Professionnels (IMPRO) qui assurent un enseignement général et préprofessionnel voire professionnel à des adolescents déficients intellectuels (et handicaps associés). </w:t>
      </w:r>
    </w:p>
    <w:p w14:paraId="2824BB99" w14:textId="231260BA" w:rsidR="009230D3" w:rsidRPr="00FF6573" w:rsidRDefault="00A12F12" w:rsidP="009230D3">
      <w:pPr>
        <w:keepNext/>
        <w:numPr>
          <w:ilvl w:val="1"/>
          <w:numId w:val="0"/>
        </w:numPr>
        <w:spacing w:before="360" w:after="240" w:line="240" w:lineRule="auto"/>
        <w:ind w:left="576" w:hanging="576"/>
        <w:jc w:val="both"/>
        <w:outlineLvl w:val="1"/>
        <w:rPr>
          <w:rFonts w:eastAsia="Times New Roman" w:cs="Arial"/>
          <w:b/>
          <w:bCs/>
          <w:color w:val="DD4713"/>
          <w:sz w:val="32"/>
          <w:szCs w:val="32"/>
          <w:lang w:eastAsia="fr-FR"/>
        </w:rPr>
      </w:pP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2.2</w:t>
      </w: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ab/>
      </w:r>
      <w:r w:rsidR="009230D3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Les Instituts d’Education Motrice (IEM)</w:t>
      </w:r>
    </w:p>
    <w:p w14:paraId="05B18E5B" w14:textId="73AF67D2" w:rsidR="00FF6573" w:rsidRPr="00FF6573" w:rsidRDefault="009230D3" w:rsidP="009230D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Etablissements qui accueillent les jeunes handicapés moteurs qui ont besoin d’une scolarité adaptée, liée à des soins rééducatifs.</w:t>
      </w:r>
    </w:p>
    <w:p w14:paraId="38920C43" w14:textId="0D13D827" w:rsidR="009230D3" w:rsidRPr="00FF6573" w:rsidRDefault="00A12F12" w:rsidP="009230D3">
      <w:pPr>
        <w:keepNext/>
        <w:numPr>
          <w:ilvl w:val="1"/>
          <w:numId w:val="0"/>
        </w:numPr>
        <w:spacing w:before="360" w:after="240" w:line="240" w:lineRule="auto"/>
        <w:ind w:left="576" w:hanging="576"/>
        <w:jc w:val="both"/>
        <w:outlineLvl w:val="1"/>
        <w:rPr>
          <w:rFonts w:eastAsia="Times New Roman" w:cs="Arial"/>
          <w:b/>
          <w:bCs/>
          <w:color w:val="DD4713"/>
          <w:sz w:val="32"/>
          <w:szCs w:val="32"/>
          <w:lang w:eastAsia="fr-FR"/>
        </w:rPr>
      </w:pP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lastRenderedPageBreak/>
        <w:t>2.3</w:t>
      </w: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ab/>
      </w:r>
      <w:r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 xml:space="preserve">Les </w:t>
      </w:r>
      <w:r w:rsidR="009230D3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 xml:space="preserve">Instituts pour </w:t>
      </w:r>
      <w:r w:rsidR="001471FA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D</w:t>
      </w:r>
      <w:r w:rsidR="009230D3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 xml:space="preserve">éficients </w:t>
      </w:r>
      <w:r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S</w:t>
      </w:r>
      <w:r w:rsidR="009230D3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ensoriels (IDS)</w:t>
      </w:r>
    </w:p>
    <w:p w14:paraId="5F7E4CAF" w14:textId="53FEA7B7" w:rsidR="001471FA" w:rsidRDefault="001471FA" w:rsidP="009230D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Etablissements qui assurent le suivi des enfants déficients visuels ou auditifs scolarisés dans les classes ordinaires et dans les pôles de scolarisation de la maternelle à l’université.</w:t>
      </w:r>
    </w:p>
    <w:p w14:paraId="31C07BD6" w14:textId="405B80E2" w:rsidR="002608AE" w:rsidRPr="00FF6573" w:rsidRDefault="00A12F12" w:rsidP="002608AE">
      <w:pPr>
        <w:keepNext/>
        <w:numPr>
          <w:ilvl w:val="1"/>
          <w:numId w:val="0"/>
        </w:numPr>
        <w:spacing w:before="360" w:after="240" w:line="240" w:lineRule="auto"/>
        <w:ind w:left="576" w:hanging="576"/>
        <w:jc w:val="both"/>
        <w:outlineLvl w:val="1"/>
        <w:rPr>
          <w:rFonts w:eastAsia="Times New Roman" w:cs="Arial"/>
          <w:b/>
          <w:bCs/>
          <w:color w:val="DD4713"/>
          <w:sz w:val="32"/>
          <w:szCs w:val="32"/>
          <w:lang w:eastAsia="fr-FR"/>
        </w:rPr>
      </w:pP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2.4</w:t>
      </w:r>
      <w:r w:rsidRPr="00A12F12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ab/>
      </w:r>
      <w:r w:rsidR="001471FA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Les Instituts Thérapeutiques Educatif et Pédagogique (ITEP)</w:t>
      </w:r>
    </w:p>
    <w:p w14:paraId="07AEDBC1" w14:textId="43E30AE7" w:rsidR="00FF6573" w:rsidRPr="00FF6573" w:rsidRDefault="001471FA" w:rsidP="001471FA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Etablissements qui accueillent des enfants ou des adolescents présentant des difficultés psychologiques dont l’expression, notamment les troubles du comportement, perturbe gravement la socialisation et l’accès aux apprentissages.</w:t>
      </w:r>
    </w:p>
    <w:p w14:paraId="5A313269" w14:textId="0985D9A4" w:rsidR="00FF6573" w:rsidRPr="00FF6573" w:rsidRDefault="002608AE" w:rsidP="001471FA">
      <w:pPr>
        <w:keepNext/>
        <w:numPr>
          <w:ilvl w:val="1"/>
          <w:numId w:val="0"/>
        </w:numPr>
        <w:spacing w:before="360" w:after="240" w:line="240" w:lineRule="auto"/>
        <w:outlineLvl w:val="1"/>
        <w:rPr>
          <w:rFonts w:eastAsia="Times New Roman" w:cs="Arial"/>
          <w:b/>
          <w:bCs/>
          <w:color w:val="DD4713"/>
          <w:sz w:val="32"/>
          <w:szCs w:val="32"/>
          <w:lang w:eastAsia="fr-FR"/>
        </w:rPr>
      </w:pPr>
      <w:r w:rsidRPr="002608AE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2.5</w:t>
      </w:r>
      <w:r w:rsidRPr="002608AE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ab/>
      </w:r>
      <w:r w:rsidR="001471FA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Prise en charge dans le cadre d’une orientation dite « amendement Creton »</w:t>
      </w:r>
    </w:p>
    <w:p w14:paraId="2B85A899" w14:textId="5379BD2F" w:rsidR="00964F85" w:rsidRDefault="001471FA" w:rsidP="00197BA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Afin de répondre à la difficulté de trouver une place en établissement pour adultes handicapés, le législateur a prévu une mesure dérogatoire permettant à de jeunes</w:t>
      </w:r>
      <w:r w:rsidR="00964F85">
        <w:rPr>
          <w:rFonts w:eastAsia="Verdana" w:cs="Arial"/>
          <w:sz w:val="28"/>
          <w:szCs w:val="28"/>
          <w:lang w:eastAsia="fr-FR"/>
        </w:rPr>
        <w:t xml:space="preserve"> adultes d’être maintenus dans l’établissement pour enfant où ils sont accueillis, ceci dans l’attente d’une solution d’accueil dans une structure adaptée à l’âge de la personne.</w:t>
      </w:r>
    </w:p>
    <w:p w14:paraId="26AE346A" w14:textId="3CF38EA7" w:rsidR="00964F85" w:rsidRPr="00FF6573" w:rsidRDefault="002608AE" w:rsidP="00964F85">
      <w:pPr>
        <w:keepNext/>
        <w:numPr>
          <w:ilvl w:val="1"/>
          <w:numId w:val="0"/>
        </w:numPr>
        <w:spacing w:before="360" w:after="240" w:line="240" w:lineRule="auto"/>
        <w:outlineLvl w:val="1"/>
        <w:rPr>
          <w:rFonts w:eastAsia="Times New Roman" w:cs="Arial"/>
          <w:b/>
          <w:bCs/>
          <w:color w:val="DD4713"/>
          <w:sz w:val="32"/>
          <w:szCs w:val="32"/>
          <w:lang w:eastAsia="fr-FR"/>
        </w:rPr>
      </w:pPr>
      <w:r w:rsidRPr="002608AE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2.6</w:t>
      </w:r>
      <w:r w:rsidRPr="002608AE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ab/>
      </w:r>
      <w:r w:rsidR="00964F85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 xml:space="preserve">Les Services d’Education Spéciale et de Soins </w:t>
      </w:r>
      <w:r w:rsidR="00B37F9D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à</w:t>
      </w:r>
      <w:r w:rsidR="00964F85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 xml:space="preserve"> Domicile (SESSAD)</w:t>
      </w:r>
    </w:p>
    <w:p w14:paraId="005B98C8" w14:textId="2E7EFDDE" w:rsidR="00964F85" w:rsidRPr="00197BA3" w:rsidRDefault="00964F85" w:rsidP="00197BA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 w:rsidRPr="00197BA3">
        <w:rPr>
          <w:rFonts w:eastAsia="Verdana" w:cs="Arial"/>
          <w:sz w:val="28"/>
          <w:szCs w:val="28"/>
          <w:lang w:eastAsia="fr-FR"/>
        </w:rPr>
        <w:t>Services qui complètent l’action des établissements spécialisés dans le domaine de l’intégration scolaire et peut faire intervenir des professionnels à domicile ou à l’école.</w:t>
      </w:r>
    </w:p>
    <w:p w14:paraId="56C6EF9E" w14:textId="5CD93882" w:rsidR="00964F85" w:rsidRPr="00FF6573" w:rsidRDefault="002608AE" w:rsidP="00964F85">
      <w:pPr>
        <w:keepNext/>
        <w:numPr>
          <w:ilvl w:val="1"/>
          <w:numId w:val="0"/>
        </w:numPr>
        <w:spacing w:before="360" w:after="240" w:line="240" w:lineRule="auto"/>
        <w:outlineLvl w:val="1"/>
        <w:rPr>
          <w:rFonts w:eastAsia="Times New Roman" w:cs="Arial"/>
          <w:b/>
          <w:bCs/>
          <w:color w:val="DD4713"/>
          <w:sz w:val="32"/>
          <w:szCs w:val="32"/>
          <w:lang w:eastAsia="fr-FR"/>
        </w:rPr>
      </w:pPr>
      <w:r w:rsidRPr="002608AE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2.7</w:t>
      </w:r>
      <w:r w:rsidRPr="002608AE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ab/>
      </w:r>
      <w:r w:rsidR="00964F85">
        <w:rPr>
          <w:rFonts w:eastAsia="Times New Roman" w:cs="Arial"/>
          <w:b/>
          <w:bCs/>
          <w:color w:val="DD4713"/>
          <w:sz w:val="32"/>
          <w:szCs w:val="32"/>
          <w:lang w:eastAsia="fr-FR"/>
        </w:rPr>
        <w:t>Services très spécialisés</w:t>
      </w:r>
    </w:p>
    <w:p w14:paraId="58DDF9D9" w14:textId="22721C5A" w:rsidR="00964F85" w:rsidRDefault="00964F85" w:rsidP="00197BA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>Les services médico-sociaux spécialisés dans les troubles de la fonction auditive : Service de Soutien à l’Education Familiale et à l’Intégration Scolaire (SSEFIS).</w:t>
      </w:r>
    </w:p>
    <w:p w14:paraId="7619E23F" w14:textId="77777777" w:rsidR="009F49B0" w:rsidRDefault="00964F85" w:rsidP="00197BA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lastRenderedPageBreak/>
        <w:t>Les services médico-sociaux spécialisés dans les troubles de la fonction visuelle : Service d’Aide à l’Acquisition de l’Autonomie et à l’Intégration Scolaire (</w:t>
      </w:r>
      <w:r w:rsidR="009F49B0">
        <w:rPr>
          <w:rFonts w:eastAsia="Verdana" w:cs="Arial"/>
          <w:sz w:val="28"/>
          <w:szCs w:val="28"/>
          <w:lang w:eastAsia="fr-FR"/>
        </w:rPr>
        <w:t>SAAAIS).</w:t>
      </w:r>
    </w:p>
    <w:p w14:paraId="39F910D0" w14:textId="77777777" w:rsidR="009F49B0" w:rsidRDefault="009F49B0" w:rsidP="00197BA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</w:p>
    <w:p w14:paraId="38EAF473" w14:textId="4B737BA1" w:rsidR="009F49B0" w:rsidRDefault="009F49B0" w:rsidP="00197BA3">
      <w:pPr>
        <w:spacing w:after="120" w:line="240" w:lineRule="auto"/>
        <w:jc w:val="both"/>
        <w:rPr>
          <w:rFonts w:eastAsia="Verdana" w:cs="Arial"/>
          <w:sz w:val="28"/>
          <w:szCs w:val="28"/>
          <w:lang w:eastAsia="fr-FR"/>
        </w:rPr>
      </w:pPr>
      <w:r>
        <w:rPr>
          <w:rFonts w:eastAsia="Verdana" w:cs="Arial"/>
          <w:sz w:val="28"/>
          <w:szCs w:val="28"/>
          <w:lang w:eastAsia="fr-FR"/>
        </w:rPr>
        <w:t xml:space="preserve">Une fois l’accord d’orientation notifié, il appartient aux parents (ou tuteurs légaux) de contacter les établissements susceptibles d’accueillir l’enfant. </w:t>
      </w:r>
    </w:p>
    <w:sectPr w:rsidR="009F49B0" w:rsidSect="00CB711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F1C7" w14:textId="77777777" w:rsidR="00756B28" w:rsidRDefault="00756B28" w:rsidP="005219AC">
      <w:pPr>
        <w:spacing w:after="0" w:line="240" w:lineRule="auto"/>
      </w:pPr>
      <w:r>
        <w:separator/>
      </w:r>
    </w:p>
  </w:endnote>
  <w:endnote w:type="continuationSeparator" w:id="0">
    <w:p w14:paraId="5DE6388F" w14:textId="77777777" w:rsidR="00756B28" w:rsidRDefault="00756B28" w:rsidP="0052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4126" w14:textId="77777777" w:rsidR="009B39C8" w:rsidRDefault="002608AE" w:rsidP="002A6826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082D89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F36702" w14:paraId="41DE36BE" w14:textId="77777777" w:rsidTr="006E7773">
      <w:tc>
        <w:tcPr>
          <w:tcW w:w="918" w:type="dxa"/>
        </w:tcPr>
        <w:p w14:paraId="074BE8B7" w14:textId="77777777" w:rsidR="00F36702" w:rsidRPr="003635D9" w:rsidRDefault="00F36702" w:rsidP="00F36702">
          <w:pPr>
            <w:pStyle w:val="Pieddepage"/>
            <w:jc w:val="right"/>
            <w:rPr>
              <w:b/>
              <w:bCs/>
              <w:color w:val="4F81BD"/>
              <w:sz w:val="32"/>
              <w:szCs w:val="32"/>
              <w14:numForm w14:val="oldStyle"/>
            </w:rPr>
          </w:pPr>
          <w:r w:rsidRPr="003635D9">
            <w:rPr>
              <w:sz w:val="16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641E5">
            <w:rPr>
              <w:sz w:val="1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635D9">
            <w:rPr>
              <w:sz w:val="16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sz w:val="16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3635D9">
            <w:rPr>
              <w:b/>
              <w:bCs/>
              <w:color w:val="4F81BD"/>
              <w:sz w:val="2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62B6C28" w14:textId="0118CC7A" w:rsidR="00F36702" w:rsidRDefault="00F36702" w:rsidP="00F36702">
          <w:r>
            <w:t xml:space="preserve">Fiche </w:t>
          </w:r>
          <w:r w:rsidR="00825CB7">
            <w:t>Orientations Médico-Sociales Enfants</w:t>
          </w:r>
        </w:p>
        <w:p w14:paraId="4AE0EC6F" w14:textId="3425EE91" w:rsidR="00F36702" w:rsidRDefault="00F36702" w:rsidP="00F36702">
          <w:pPr>
            <w:rPr>
              <w:sz w:val="22"/>
            </w:rPr>
          </w:pPr>
          <w:r>
            <w:rPr>
              <w:sz w:val="22"/>
            </w:rPr>
            <w:t>SSJ</w:t>
          </w:r>
        </w:p>
        <w:p w14:paraId="31DB371E" w14:textId="25D59EB9" w:rsidR="00F36702" w:rsidRPr="00350ADF" w:rsidRDefault="001E3748" w:rsidP="00F36702">
          <w:pPr>
            <w:rPr>
              <w:sz w:val="22"/>
            </w:rPr>
          </w:pPr>
          <w:r>
            <w:rPr>
              <w:sz w:val="22"/>
            </w:rPr>
            <w:t>Octobre</w:t>
          </w:r>
          <w:r w:rsidR="00F36702">
            <w:rPr>
              <w:sz w:val="22"/>
            </w:rPr>
            <w:t xml:space="preserve"> 2020</w:t>
          </w:r>
        </w:p>
      </w:tc>
    </w:tr>
  </w:tbl>
  <w:p w14:paraId="04E6DD63" w14:textId="77777777" w:rsidR="00F36702" w:rsidRPr="003635D9" w:rsidRDefault="00F36702" w:rsidP="00F36702">
    <w:pPr>
      <w:pStyle w:val="Pieddepage"/>
      <w:rPr>
        <w:color w:val="0F243E"/>
        <w:sz w:val="8"/>
      </w:rPr>
    </w:pPr>
  </w:p>
  <w:p w14:paraId="74EDCA17" w14:textId="3DC87C76" w:rsidR="00197BA3" w:rsidRDefault="00197BA3">
    <w:pPr>
      <w:pStyle w:val="Pieddepage"/>
      <w:jc w:val="center"/>
    </w:pPr>
  </w:p>
  <w:p w14:paraId="017B38E0" w14:textId="77777777" w:rsidR="009B39C8" w:rsidRPr="00FF6573" w:rsidRDefault="00756B28" w:rsidP="007641E5">
    <w:pPr>
      <w:pStyle w:val="Pieddepage"/>
      <w:rPr>
        <w:color w:val="0F243E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2BEC" w14:textId="77777777" w:rsidR="00756B28" w:rsidRDefault="00756B28" w:rsidP="005219AC">
      <w:pPr>
        <w:spacing w:after="0" w:line="240" w:lineRule="auto"/>
      </w:pPr>
      <w:r>
        <w:separator/>
      </w:r>
    </w:p>
  </w:footnote>
  <w:footnote w:type="continuationSeparator" w:id="0">
    <w:p w14:paraId="4D18F768" w14:textId="77777777" w:rsidR="00756B28" w:rsidRDefault="00756B28" w:rsidP="0052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8CDE" w14:textId="77777777" w:rsidR="005B7D1E" w:rsidRDefault="002608AE">
    <w:pPr>
      <w:pStyle w:val="En-tte"/>
    </w:pPr>
    <w:r>
      <w:rPr>
        <w:noProof/>
      </w:rPr>
      <w:drawing>
        <wp:inline distT="0" distB="0" distL="0" distR="0" wp14:anchorId="41427EDB" wp14:editId="56D6B733">
          <wp:extent cx="2228850" cy="1209675"/>
          <wp:effectExtent l="0" t="0" r="0" b="9525"/>
          <wp:docPr id="1" name="Image 1" descr="Logo Valentin Haüy&#10;Avec les aveugles et les malvoy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Valentin Haüy&#10;Avec les aveugles et les malvoy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211"/>
    <w:multiLevelType w:val="hybridMultilevel"/>
    <w:tmpl w:val="E252F9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D4CAA"/>
    <w:multiLevelType w:val="hybridMultilevel"/>
    <w:tmpl w:val="B23E6278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5861CAA"/>
    <w:multiLevelType w:val="hybridMultilevel"/>
    <w:tmpl w:val="C166F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81358"/>
    <w:multiLevelType w:val="hybridMultilevel"/>
    <w:tmpl w:val="7A824C0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73"/>
    <w:rsid w:val="00006515"/>
    <w:rsid w:val="0011314B"/>
    <w:rsid w:val="001471FA"/>
    <w:rsid w:val="00197BA3"/>
    <w:rsid w:val="001E3748"/>
    <w:rsid w:val="002608AE"/>
    <w:rsid w:val="005219AC"/>
    <w:rsid w:val="00756B28"/>
    <w:rsid w:val="00825CB7"/>
    <w:rsid w:val="009230D3"/>
    <w:rsid w:val="00964F85"/>
    <w:rsid w:val="009F49B0"/>
    <w:rsid w:val="00A12F12"/>
    <w:rsid w:val="00B37F9D"/>
    <w:rsid w:val="00F36702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912F"/>
  <w15:chartTrackingRefBased/>
  <w15:docId w15:val="{CFD163EA-4216-42F5-8C13-500F8233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4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65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F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573"/>
  </w:style>
  <w:style w:type="paragraph" w:styleId="Pieddepage">
    <w:name w:val="footer"/>
    <w:basedOn w:val="Normal"/>
    <w:link w:val="PieddepageCar"/>
    <w:uiPriority w:val="99"/>
    <w:unhideWhenUsed/>
    <w:rsid w:val="00FF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573"/>
  </w:style>
  <w:style w:type="paragraph" w:styleId="Paragraphedeliste">
    <w:name w:val="List Paragraph"/>
    <w:basedOn w:val="Normal"/>
    <w:uiPriority w:val="34"/>
    <w:qFormat/>
    <w:rsid w:val="00923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6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DEBONNAIRE Corinne</dc:creator>
  <cp:keywords/>
  <dc:description/>
  <cp:lastModifiedBy>Marc-Antoine Bonnet</cp:lastModifiedBy>
  <cp:revision>2</cp:revision>
  <dcterms:created xsi:type="dcterms:W3CDTF">2021-04-22T15:21:00Z</dcterms:created>
  <dcterms:modified xsi:type="dcterms:W3CDTF">2021-04-22T15:21:00Z</dcterms:modified>
</cp:coreProperties>
</file>