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67CD" w14:textId="356C6893" w:rsidR="00504B19" w:rsidRDefault="00664E79" w:rsidP="008941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AF4ACEA" wp14:editId="379A5ADC">
            <wp:extent cx="1445895" cy="1005840"/>
            <wp:effectExtent l="0" t="0" r="1905" b="3810"/>
            <wp:docPr id="6" name="Image 1" descr="Logo Association Valentin Haüy&#10;Avec les aveugles et les malvoyants &#10;Agir pour l’autonomi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Logo Association Valentin Haüy&#10;Avec les aveugles et les malvoyants &#10;Agir pour l’autonomie&#10;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153CF" w14:textId="39076C2C" w:rsidR="00A631E9" w:rsidRPr="00E5033F" w:rsidRDefault="00A631E9" w:rsidP="008941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EC99790" w14:textId="77777777" w:rsidR="00A631E9" w:rsidRPr="00E5033F" w:rsidRDefault="00A631E9" w:rsidP="008941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944D0AD" w14:textId="11337724" w:rsidR="00504B19" w:rsidRDefault="00504B19" w:rsidP="008941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>ASSEMBLÉE GÉNÉRALE ORDINAIRE N° 138 </w:t>
      </w:r>
    </w:p>
    <w:p w14:paraId="0BC8ABAD" w14:textId="77777777" w:rsidR="00504B19" w:rsidRDefault="00504B19" w:rsidP="008941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F351150" w14:textId="441735BA" w:rsidR="00894117" w:rsidRPr="00E5033F" w:rsidRDefault="00894117" w:rsidP="0089411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033F">
        <w:rPr>
          <w:rFonts w:ascii="Arial" w:hAnsi="Arial" w:cs="Arial"/>
          <w:b/>
          <w:sz w:val="24"/>
          <w:szCs w:val="24"/>
        </w:rPr>
        <w:t xml:space="preserve">Rapport financier Exercice </w:t>
      </w:r>
      <w:r w:rsidR="002308A7" w:rsidRPr="00E5033F">
        <w:rPr>
          <w:rFonts w:ascii="Arial" w:hAnsi="Arial" w:cs="Arial"/>
          <w:b/>
          <w:sz w:val="24"/>
          <w:szCs w:val="24"/>
        </w:rPr>
        <w:t>202</w:t>
      </w:r>
      <w:r w:rsidR="002713BD" w:rsidRPr="00E5033F">
        <w:rPr>
          <w:rFonts w:ascii="Arial" w:hAnsi="Arial" w:cs="Arial"/>
          <w:b/>
          <w:sz w:val="24"/>
          <w:szCs w:val="24"/>
        </w:rPr>
        <w:t>3</w:t>
      </w:r>
      <w:r w:rsidR="00D31753" w:rsidRPr="00E5033F">
        <w:rPr>
          <w:rFonts w:ascii="Arial" w:hAnsi="Arial" w:cs="Arial"/>
          <w:b/>
          <w:sz w:val="24"/>
          <w:szCs w:val="24"/>
        </w:rPr>
        <w:t xml:space="preserve"> </w:t>
      </w:r>
    </w:p>
    <w:p w14:paraId="51E5DCB7" w14:textId="03574F4F" w:rsidR="00894117" w:rsidRPr="00E5033F" w:rsidRDefault="00894117" w:rsidP="0089411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dt>
      <w:sdtPr>
        <w:id w:val="1752242766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2D1F0FA3" w14:textId="6EB1C0A9" w:rsidR="00827A89" w:rsidRDefault="00827A89">
          <w:pPr>
            <w:pStyle w:val="En-ttedetabledesmatires"/>
          </w:pPr>
          <w:r>
            <w:t>Table des matières</w:t>
          </w:r>
        </w:p>
        <w:p w14:paraId="617ABE05" w14:textId="07982110" w:rsidR="00093632" w:rsidRDefault="00827A89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8581064" w:history="1">
            <w:r w:rsidR="00093632" w:rsidRPr="00876C7B">
              <w:rPr>
                <w:rStyle w:val="Lienhypertexte"/>
                <w:noProof/>
              </w:rPr>
              <w:t>Faits significatifs en 2023</w:t>
            </w:r>
            <w:r w:rsidR="00093632">
              <w:rPr>
                <w:noProof/>
                <w:webHidden/>
              </w:rPr>
              <w:tab/>
            </w:r>
            <w:r w:rsidR="00093632">
              <w:rPr>
                <w:noProof/>
                <w:webHidden/>
              </w:rPr>
              <w:fldChar w:fldCharType="begin"/>
            </w:r>
            <w:r w:rsidR="00093632">
              <w:rPr>
                <w:noProof/>
                <w:webHidden/>
              </w:rPr>
              <w:instrText xml:space="preserve"> PAGEREF _Toc168581064 \h </w:instrText>
            </w:r>
            <w:r w:rsidR="00093632">
              <w:rPr>
                <w:noProof/>
                <w:webHidden/>
              </w:rPr>
            </w:r>
            <w:r w:rsidR="00093632">
              <w:rPr>
                <w:noProof/>
                <w:webHidden/>
              </w:rPr>
              <w:fldChar w:fldCharType="separate"/>
            </w:r>
            <w:r w:rsidR="00093632">
              <w:rPr>
                <w:noProof/>
                <w:webHidden/>
              </w:rPr>
              <w:t>1</w:t>
            </w:r>
            <w:r w:rsidR="00093632">
              <w:rPr>
                <w:noProof/>
                <w:webHidden/>
              </w:rPr>
              <w:fldChar w:fldCharType="end"/>
            </w:r>
          </w:hyperlink>
        </w:p>
        <w:p w14:paraId="3CD8B8AF" w14:textId="50D30C31" w:rsidR="00093632" w:rsidRDefault="00093632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8581065" w:history="1">
            <w:r w:rsidRPr="00876C7B">
              <w:rPr>
                <w:rStyle w:val="Lienhypertexte"/>
                <w:noProof/>
              </w:rPr>
              <w:t>Compte de résultat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_Toc168581065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31D682" w14:textId="476AB290" w:rsidR="00093632" w:rsidRDefault="00093632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8581066" w:history="1">
            <w:r w:rsidRPr="00876C7B">
              <w:rPr>
                <w:rStyle w:val="Lienhypertexte"/>
                <w:noProof/>
              </w:rPr>
              <w:t>Bilan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_Toc168581066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FF1743" w14:textId="1EED7D0F" w:rsidR="00093632" w:rsidRDefault="00093632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8581067" w:history="1">
            <w:r w:rsidRPr="00876C7B">
              <w:rPr>
                <w:rStyle w:val="Lienhypertexte"/>
                <w:noProof/>
              </w:rPr>
              <w:t>Actif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_Toc168581067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C3D9C" w14:textId="36B646B9" w:rsidR="00093632" w:rsidRDefault="00093632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8581068" w:history="1">
            <w:r w:rsidRPr="00876C7B">
              <w:rPr>
                <w:rStyle w:val="Lienhypertexte"/>
                <w:noProof/>
              </w:rPr>
              <w:t>Passif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_Toc168581068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43C1A" w14:textId="39350115" w:rsidR="00093632" w:rsidRDefault="00093632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8581069" w:history="1">
            <w:r w:rsidRPr="00876C7B">
              <w:rPr>
                <w:rStyle w:val="Lienhypertexte"/>
                <w:noProof/>
              </w:rPr>
              <w:t>Compte de résultat par origine et destination (CROD) et compte d’emploi annuel des ressources collectées auprès du public (CER)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_Toc168581069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26E49" w14:textId="5EABB6F3" w:rsidR="00093632" w:rsidRDefault="00093632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8581070" w:history="1">
            <w:r w:rsidRPr="00876C7B">
              <w:rPr>
                <w:rStyle w:val="Lienhypertexte"/>
                <w:noProof/>
              </w:rPr>
              <w:t>Emplois de l’année retracés dans le CROD et le 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_Toc168581070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0DD33F" w14:textId="238A3ED7" w:rsidR="00093632" w:rsidRDefault="00093632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8581071" w:history="1">
            <w:r w:rsidRPr="00876C7B">
              <w:rPr>
                <w:rStyle w:val="Lienhypertexte"/>
                <w:noProof/>
              </w:rPr>
              <w:t>Ressources de l’année retracées dans le CROD et le 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_Toc168581071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6DBA81" w14:textId="664689BC" w:rsidR="00093632" w:rsidRDefault="00093632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8581072" w:history="1">
            <w:r w:rsidRPr="00876C7B">
              <w:rPr>
                <w:rStyle w:val="Lienhypertexte"/>
                <w:noProof/>
              </w:rPr>
              <w:t>Équilibre du CROD et du CER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_Toc168581072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98BD8F" w14:textId="42B3729C" w:rsidR="00093632" w:rsidRDefault="00093632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kern w:val="2"/>
              <w:sz w:val="24"/>
              <w:szCs w:val="24"/>
              <w:lang w:eastAsia="fr-FR"/>
              <w14:ligatures w14:val="standardContextual"/>
            </w:rPr>
          </w:pPr>
          <w:hyperlink w:anchor="_Toc168581073" w:history="1">
            <w:r w:rsidRPr="00876C7B">
              <w:rPr>
                <w:rStyle w:val="Lienhypertexte"/>
                <w:noProof/>
              </w:rPr>
              <w:t>Commentaires et 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_Toc168581073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A7B20A" w14:textId="4DACD07E" w:rsidR="00827A89" w:rsidRDefault="00827A89">
          <w:r>
            <w:rPr>
              <w:b/>
              <w:bCs/>
            </w:rPr>
            <w:fldChar w:fldCharType="end"/>
          </w:r>
        </w:p>
      </w:sdtContent>
    </w:sdt>
    <w:p w14:paraId="16CDD36E" w14:textId="08DE9B63" w:rsidR="00C968D6" w:rsidRPr="000B5123" w:rsidRDefault="00C968D6" w:rsidP="008422CD">
      <w:pPr>
        <w:pStyle w:val="Titre1"/>
        <w:ind w:left="851"/>
      </w:pPr>
      <w:bookmarkStart w:id="0" w:name="_Toc168581064"/>
      <w:r w:rsidRPr="000B5123">
        <w:t>Faits significatifs en 20</w:t>
      </w:r>
      <w:r w:rsidR="00D76C83" w:rsidRPr="000B5123">
        <w:t>2</w:t>
      </w:r>
      <w:r w:rsidR="002713BD" w:rsidRPr="000B5123">
        <w:t>3</w:t>
      </w:r>
      <w:bookmarkEnd w:id="0"/>
    </w:p>
    <w:p w14:paraId="7134ED36" w14:textId="77777777" w:rsidR="009A1789" w:rsidRPr="000B5123" w:rsidRDefault="009A1789" w:rsidP="008422CD">
      <w:pPr>
        <w:spacing w:after="0"/>
        <w:ind w:left="851"/>
        <w:rPr>
          <w:rFonts w:ascii="Arial" w:hAnsi="Arial" w:cs="Arial"/>
          <w:b/>
          <w:sz w:val="24"/>
          <w:szCs w:val="24"/>
        </w:rPr>
      </w:pPr>
    </w:p>
    <w:p w14:paraId="53429968" w14:textId="1E7C47F2" w:rsidR="00F26BCA" w:rsidRDefault="00C968D6" w:rsidP="008422CD">
      <w:pPr>
        <w:pStyle w:val="Paragraphedeliste"/>
        <w:numPr>
          <w:ilvl w:val="0"/>
          <w:numId w:val="1"/>
        </w:numPr>
        <w:ind w:left="851" w:firstLine="0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L’association a perçu </w:t>
      </w:r>
      <w:r w:rsidR="006A78EE" w:rsidRPr="000B5123">
        <w:rPr>
          <w:rFonts w:ascii="Arial" w:hAnsi="Arial" w:cs="Arial"/>
          <w:sz w:val="24"/>
          <w:szCs w:val="24"/>
        </w:rPr>
        <w:t xml:space="preserve">une contribution </w:t>
      </w:r>
      <w:r w:rsidR="00FB3C79" w:rsidRPr="000B5123">
        <w:rPr>
          <w:rFonts w:ascii="Arial" w:hAnsi="Arial" w:cs="Arial"/>
          <w:sz w:val="24"/>
          <w:szCs w:val="24"/>
        </w:rPr>
        <w:t>de la Fondation Valentin Haüy pour le financement de ses actions et projets de l’année 20</w:t>
      </w:r>
      <w:r w:rsidR="00295000" w:rsidRPr="000B5123">
        <w:rPr>
          <w:rFonts w:ascii="Arial" w:hAnsi="Arial" w:cs="Arial"/>
          <w:sz w:val="24"/>
          <w:szCs w:val="24"/>
        </w:rPr>
        <w:t>2</w:t>
      </w:r>
      <w:r w:rsidR="002713BD" w:rsidRPr="000B5123">
        <w:rPr>
          <w:rFonts w:ascii="Arial" w:hAnsi="Arial" w:cs="Arial"/>
          <w:sz w:val="24"/>
          <w:szCs w:val="24"/>
        </w:rPr>
        <w:t>3</w:t>
      </w:r>
      <w:r w:rsidR="008C4422" w:rsidRPr="000B5123">
        <w:rPr>
          <w:rFonts w:ascii="Arial" w:hAnsi="Arial" w:cs="Arial"/>
          <w:sz w:val="24"/>
          <w:szCs w:val="24"/>
        </w:rPr>
        <w:t xml:space="preserve"> s’élevant à 3 </w:t>
      </w:r>
      <w:r w:rsidR="002713BD" w:rsidRPr="000B5123">
        <w:rPr>
          <w:rFonts w:ascii="Arial" w:hAnsi="Arial" w:cs="Arial"/>
          <w:sz w:val="24"/>
          <w:szCs w:val="24"/>
        </w:rPr>
        <w:t>0</w:t>
      </w:r>
      <w:r w:rsidR="008C4422" w:rsidRPr="000B5123">
        <w:rPr>
          <w:rFonts w:ascii="Arial" w:hAnsi="Arial" w:cs="Arial"/>
          <w:sz w:val="24"/>
          <w:szCs w:val="24"/>
        </w:rPr>
        <w:t xml:space="preserve">00 K€ contre </w:t>
      </w:r>
    </w:p>
    <w:p w14:paraId="167D310C" w14:textId="429E702F" w:rsidR="00C968D6" w:rsidRPr="000B5123" w:rsidRDefault="002713BD" w:rsidP="008422CD">
      <w:pPr>
        <w:pStyle w:val="Paragraphedeliste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3 5</w:t>
      </w:r>
      <w:r w:rsidR="00F524E3" w:rsidRPr="000B5123">
        <w:rPr>
          <w:rFonts w:ascii="Arial" w:hAnsi="Arial" w:cs="Arial"/>
          <w:sz w:val="24"/>
          <w:szCs w:val="24"/>
        </w:rPr>
        <w:t>00</w:t>
      </w:r>
      <w:r w:rsidR="00F53C80" w:rsidRPr="000B5123">
        <w:rPr>
          <w:rFonts w:ascii="Arial" w:hAnsi="Arial" w:cs="Arial"/>
          <w:sz w:val="24"/>
          <w:szCs w:val="24"/>
        </w:rPr>
        <w:t xml:space="preserve"> </w:t>
      </w:r>
      <w:r w:rsidR="00FB3C79" w:rsidRPr="000B5123">
        <w:rPr>
          <w:rFonts w:ascii="Arial" w:hAnsi="Arial" w:cs="Arial"/>
          <w:sz w:val="24"/>
          <w:szCs w:val="24"/>
        </w:rPr>
        <w:t>K€</w:t>
      </w:r>
      <w:r w:rsidR="008C4422" w:rsidRPr="000B5123">
        <w:rPr>
          <w:rFonts w:ascii="Arial" w:hAnsi="Arial" w:cs="Arial"/>
          <w:sz w:val="24"/>
          <w:szCs w:val="24"/>
        </w:rPr>
        <w:t xml:space="preserve"> en 202</w:t>
      </w:r>
      <w:r w:rsidRPr="000B5123">
        <w:rPr>
          <w:rFonts w:ascii="Arial" w:hAnsi="Arial" w:cs="Arial"/>
          <w:sz w:val="24"/>
          <w:szCs w:val="24"/>
        </w:rPr>
        <w:t>2</w:t>
      </w:r>
      <w:r w:rsidR="00F524E3" w:rsidRPr="000B5123">
        <w:rPr>
          <w:rFonts w:ascii="Arial" w:hAnsi="Arial" w:cs="Arial"/>
          <w:sz w:val="24"/>
          <w:szCs w:val="24"/>
        </w:rPr>
        <w:t>.</w:t>
      </w:r>
    </w:p>
    <w:p w14:paraId="387D659E" w14:textId="522C010C" w:rsidR="008C4422" w:rsidRPr="000B5123" w:rsidRDefault="00C968D6" w:rsidP="00F26BCA">
      <w:pPr>
        <w:pStyle w:val="Paragraphedeliste"/>
        <w:numPr>
          <w:ilvl w:val="0"/>
          <w:numId w:val="1"/>
        </w:numPr>
        <w:ind w:left="851" w:firstLine="0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L’association </w:t>
      </w:r>
      <w:r w:rsidR="00295000" w:rsidRPr="000B5123">
        <w:rPr>
          <w:rFonts w:ascii="Arial" w:hAnsi="Arial" w:cs="Arial"/>
          <w:sz w:val="24"/>
          <w:szCs w:val="24"/>
        </w:rPr>
        <w:t>enregistre un</w:t>
      </w:r>
      <w:r w:rsidR="008C4422" w:rsidRPr="000B5123">
        <w:rPr>
          <w:rFonts w:ascii="Arial" w:hAnsi="Arial" w:cs="Arial"/>
          <w:sz w:val="24"/>
          <w:szCs w:val="24"/>
        </w:rPr>
        <w:t xml:space="preserve"> </w:t>
      </w:r>
      <w:r w:rsidR="002713BD" w:rsidRPr="000B5123">
        <w:rPr>
          <w:rFonts w:ascii="Arial" w:hAnsi="Arial" w:cs="Arial"/>
          <w:sz w:val="24"/>
          <w:szCs w:val="24"/>
        </w:rPr>
        <w:t xml:space="preserve">redressement </w:t>
      </w:r>
      <w:r w:rsidR="008C4422" w:rsidRPr="000B5123">
        <w:rPr>
          <w:rFonts w:ascii="Arial" w:hAnsi="Arial" w:cs="Arial"/>
          <w:sz w:val="24"/>
          <w:szCs w:val="24"/>
        </w:rPr>
        <w:t>d</w:t>
      </w:r>
      <w:r w:rsidR="00295000" w:rsidRPr="000B5123">
        <w:rPr>
          <w:rFonts w:ascii="Arial" w:hAnsi="Arial" w:cs="Arial"/>
          <w:sz w:val="24"/>
          <w:szCs w:val="24"/>
        </w:rPr>
        <w:t>es encaissements de legs</w:t>
      </w:r>
      <w:r w:rsidR="008C4422" w:rsidRPr="000B5123">
        <w:rPr>
          <w:rFonts w:ascii="Arial" w:hAnsi="Arial" w:cs="Arial"/>
          <w:sz w:val="24"/>
          <w:szCs w:val="24"/>
        </w:rPr>
        <w:t xml:space="preserve">, </w:t>
      </w:r>
      <w:r w:rsidR="002713BD" w:rsidRPr="000B5123">
        <w:rPr>
          <w:rFonts w:ascii="Arial" w:hAnsi="Arial" w:cs="Arial"/>
          <w:sz w:val="24"/>
          <w:szCs w:val="24"/>
        </w:rPr>
        <w:t xml:space="preserve">de </w:t>
      </w:r>
      <w:r w:rsidR="008C4422" w:rsidRPr="000B5123">
        <w:rPr>
          <w:rFonts w:ascii="Arial" w:hAnsi="Arial" w:cs="Arial"/>
          <w:sz w:val="24"/>
          <w:szCs w:val="24"/>
        </w:rPr>
        <w:t>4 </w:t>
      </w:r>
      <w:r w:rsidR="00706682" w:rsidRPr="000B5123">
        <w:rPr>
          <w:rFonts w:ascii="Arial" w:hAnsi="Arial" w:cs="Arial"/>
          <w:sz w:val="24"/>
          <w:szCs w:val="24"/>
        </w:rPr>
        <w:t>776</w:t>
      </w:r>
      <w:r w:rsidR="008C4422" w:rsidRPr="000B5123">
        <w:rPr>
          <w:rFonts w:ascii="Arial" w:hAnsi="Arial" w:cs="Arial"/>
          <w:sz w:val="24"/>
          <w:szCs w:val="24"/>
        </w:rPr>
        <w:t xml:space="preserve"> K€ </w:t>
      </w:r>
      <w:r w:rsidR="002713BD" w:rsidRPr="000B5123">
        <w:rPr>
          <w:rFonts w:ascii="Arial" w:hAnsi="Arial" w:cs="Arial"/>
          <w:sz w:val="24"/>
          <w:szCs w:val="24"/>
        </w:rPr>
        <w:t>en 2022 à 6 0</w:t>
      </w:r>
      <w:r w:rsidR="00E00095" w:rsidRPr="000B5123">
        <w:rPr>
          <w:rFonts w:ascii="Arial" w:hAnsi="Arial" w:cs="Arial"/>
          <w:sz w:val="24"/>
          <w:szCs w:val="24"/>
        </w:rPr>
        <w:t>12</w:t>
      </w:r>
      <w:r w:rsidR="002713BD" w:rsidRPr="000B5123">
        <w:rPr>
          <w:rFonts w:ascii="Arial" w:hAnsi="Arial" w:cs="Arial"/>
          <w:sz w:val="24"/>
          <w:szCs w:val="24"/>
        </w:rPr>
        <w:t xml:space="preserve"> K€ en 2023, </w:t>
      </w:r>
      <w:r w:rsidR="008C4422" w:rsidRPr="000B5123">
        <w:rPr>
          <w:rFonts w:ascii="Arial" w:hAnsi="Arial" w:cs="Arial"/>
          <w:sz w:val="24"/>
          <w:szCs w:val="24"/>
        </w:rPr>
        <w:t>en raison d</w:t>
      </w:r>
      <w:r w:rsidR="002713BD" w:rsidRPr="000B5123">
        <w:rPr>
          <w:rFonts w:ascii="Arial" w:hAnsi="Arial" w:cs="Arial"/>
          <w:sz w:val="24"/>
          <w:szCs w:val="24"/>
        </w:rPr>
        <w:t xml:space="preserve">’un </w:t>
      </w:r>
      <w:r w:rsidR="001F3866" w:rsidRPr="000B5123">
        <w:rPr>
          <w:rFonts w:ascii="Arial" w:hAnsi="Arial" w:cs="Arial"/>
          <w:sz w:val="24"/>
          <w:szCs w:val="24"/>
        </w:rPr>
        <w:t xml:space="preserve">flux de nouveaux </w:t>
      </w:r>
      <w:r w:rsidR="008C4422" w:rsidRPr="000B5123">
        <w:rPr>
          <w:rFonts w:ascii="Arial" w:hAnsi="Arial" w:cs="Arial"/>
          <w:sz w:val="24"/>
          <w:szCs w:val="24"/>
        </w:rPr>
        <w:t xml:space="preserve">legs </w:t>
      </w:r>
      <w:r w:rsidR="002713BD" w:rsidRPr="000B5123">
        <w:rPr>
          <w:rFonts w:ascii="Arial" w:hAnsi="Arial" w:cs="Arial"/>
          <w:sz w:val="24"/>
          <w:szCs w:val="24"/>
        </w:rPr>
        <w:t>à partir du deuxième semestre 2023</w:t>
      </w:r>
      <w:r w:rsidR="008C4422" w:rsidRPr="000B5123">
        <w:rPr>
          <w:rFonts w:ascii="Arial" w:hAnsi="Arial" w:cs="Arial"/>
          <w:sz w:val="24"/>
          <w:szCs w:val="24"/>
        </w:rPr>
        <w:t>.</w:t>
      </w:r>
    </w:p>
    <w:p w14:paraId="120187A7" w14:textId="31693BE5" w:rsidR="001936B3" w:rsidRPr="000B5123" w:rsidRDefault="007F1A50" w:rsidP="00F26BCA">
      <w:pPr>
        <w:pStyle w:val="Paragraphedeliste"/>
        <w:numPr>
          <w:ilvl w:val="0"/>
          <w:numId w:val="1"/>
        </w:numPr>
        <w:ind w:left="851" w:firstLine="0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L</w:t>
      </w:r>
      <w:r w:rsidR="002713BD" w:rsidRPr="000B5123">
        <w:rPr>
          <w:rFonts w:ascii="Arial" w:hAnsi="Arial" w:cs="Arial"/>
          <w:sz w:val="24"/>
          <w:szCs w:val="24"/>
        </w:rPr>
        <w:t>’arrêt</w:t>
      </w:r>
      <w:r w:rsidR="005B18A4" w:rsidRPr="000B5123">
        <w:rPr>
          <w:rFonts w:ascii="Arial" w:hAnsi="Arial" w:cs="Arial"/>
          <w:sz w:val="24"/>
          <w:szCs w:val="24"/>
        </w:rPr>
        <w:t>,</w:t>
      </w:r>
      <w:r w:rsidR="002713BD" w:rsidRPr="000B5123">
        <w:rPr>
          <w:rFonts w:ascii="Arial" w:hAnsi="Arial" w:cs="Arial"/>
          <w:sz w:val="24"/>
          <w:szCs w:val="24"/>
        </w:rPr>
        <w:t xml:space="preserve"> </w:t>
      </w:r>
      <w:r w:rsidR="005B18A4" w:rsidRPr="000B5123">
        <w:rPr>
          <w:rFonts w:ascii="Arial" w:hAnsi="Arial" w:cs="Arial"/>
          <w:sz w:val="24"/>
          <w:szCs w:val="24"/>
        </w:rPr>
        <w:t xml:space="preserve">à compter de septembre 2023, </w:t>
      </w:r>
      <w:r w:rsidR="002713BD" w:rsidRPr="000B5123">
        <w:rPr>
          <w:rFonts w:ascii="Arial" w:hAnsi="Arial" w:cs="Arial"/>
          <w:sz w:val="24"/>
          <w:szCs w:val="24"/>
        </w:rPr>
        <w:t>d</w:t>
      </w:r>
      <w:r w:rsidR="002659A4" w:rsidRPr="000B5123">
        <w:rPr>
          <w:rFonts w:ascii="Arial" w:hAnsi="Arial" w:cs="Arial"/>
          <w:sz w:val="24"/>
          <w:szCs w:val="24"/>
        </w:rPr>
        <w:t>es hausse</w:t>
      </w:r>
      <w:r w:rsidR="002713BD" w:rsidRPr="000B5123">
        <w:rPr>
          <w:rFonts w:ascii="Arial" w:hAnsi="Arial" w:cs="Arial"/>
          <w:sz w:val="24"/>
          <w:szCs w:val="24"/>
        </w:rPr>
        <w:t>s</w:t>
      </w:r>
      <w:r w:rsidR="002659A4" w:rsidRPr="000B5123">
        <w:rPr>
          <w:rFonts w:ascii="Arial" w:hAnsi="Arial" w:cs="Arial"/>
          <w:sz w:val="24"/>
          <w:szCs w:val="24"/>
        </w:rPr>
        <w:t xml:space="preserve"> de taux d’intérêt </w:t>
      </w:r>
      <w:r w:rsidR="002713BD" w:rsidRPr="000B5123">
        <w:rPr>
          <w:rFonts w:ascii="Arial" w:hAnsi="Arial" w:cs="Arial"/>
          <w:sz w:val="24"/>
          <w:szCs w:val="24"/>
        </w:rPr>
        <w:t>pratiquées</w:t>
      </w:r>
      <w:r w:rsidR="002659A4" w:rsidRPr="000B5123">
        <w:rPr>
          <w:rFonts w:ascii="Arial" w:hAnsi="Arial" w:cs="Arial"/>
          <w:sz w:val="24"/>
          <w:szCs w:val="24"/>
        </w:rPr>
        <w:t xml:space="preserve"> par les banques centrales </w:t>
      </w:r>
      <w:r w:rsidR="002713BD" w:rsidRPr="000B5123">
        <w:rPr>
          <w:rFonts w:ascii="Arial" w:hAnsi="Arial" w:cs="Arial"/>
          <w:sz w:val="24"/>
          <w:szCs w:val="24"/>
        </w:rPr>
        <w:t xml:space="preserve">génère une remontée des prix des </w:t>
      </w:r>
      <w:r w:rsidR="00F602A4" w:rsidRPr="000B5123">
        <w:rPr>
          <w:rFonts w:ascii="Arial" w:hAnsi="Arial" w:cs="Arial"/>
          <w:sz w:val="24"/>
          <w:szCs w:val="24"/>
        </w:rPr>
        <w:t>placements</w:t>
      </w:r>
      <w:r w:rsidR="005B18A4" w:rsidRPr="000B5123">
        <w:rPr>
          <w:rFonts w:ascii="Arial" w:hAnsi="Arial" w:cs="Arial"/>
          <w:sz w:val="24"/>
          <w:szCs w:val="24"/>
        </w:rPr>
        <w:t>,</w:t>
      </w:r>
      <w:r w:rsidR="002713BD" w:rsidRPr="000B5123">
        <w:rPr>
          <w:rFonts w:ascii="Arial" w:hAnsi="Arial" w:cs="Arial"/>
          <w:sz w:val="24"/>
          <w:szCs w:val="24"/>
        </w:rPr>
        <w:t xml:space="preserve"> permet de reprendre une partie des provisions pour dépréciation constituées fin 2022</w:t>
      </w:r>
      <w:r w:rsidR="00F602A4" w:rsidRPr="000B5123">
        <w:rPr>
          <w:rFonts w:ascii="Arial" w:hAnsi="Arial" w:cs="Arial"/>
          <w:sz w:val="24"/>
          <w:szCs w:val="24"/>
        </w:rPr>
        <w:t xml:space="preserve">, </w:t>
      </w:r>
      <w:r w:rsidR="005B18A4" w:rsidRPr="000B5123">
        <w:rPr>
          <w:rFonts w:ascii="Arial" w:hAnsi="Arial" w:cs="Arial"/>
          <w:sz w:val="24"/>
          <w:szCs w:val="24"/>
        </w:rPr>
        <w:t xml:space="preserve">offre des occasions de placement sur des échéances courtes, </w:t>
      </w:r>
      <w:r w:rsidR="00F602A4" w:rsidRPr="000B5123">
        <w:rPr>
          <w:rFonts w:ascii="Arial" w:hAnsi="Arial" w:cs="Arial"/>
          <w:sz w:val="24"/>
          <w:szCs w:val="24"/>
        </w:rPr>
        <w:t xml:space="preserve">alors que la baisse des valeurs de rachat décidée par de nombreuses SCPI </w:t>
      </w:r>
      <w:r w:rsidR="005B18A4" w:rsidRPr="000B5123">
        <w:rPr>
          <w:rFonts w:ascii="Arial" w:hAnsi="Arial" w:cs="Arial"/>
          <w:sz w:val="24"/>
          <w:szCs w:val="24"/>
        </w:rPr>
        <w:t xml:space="preserve">vers la fin 2023 </w:t>
      </w:r>
      <w:r w:rsidR="00F602A4" w:rsidRPr="000B5123">
        <w:rPr>
          <w:rFonts w:ascii="Arial" w:hAnsi="Arial" w:cs="Arial"/>
          <w:sz w:val="24"/>
          <w:szCs w:val="24"/>
        </w:rPr>
        <w:t>oblige à constituer de nouvelles provisions pour dépréciation</w:t>
      </w:r>
      <w:r w:rsidR="00F442BE" w:rsidRPr="000B5123">
        <w:rPr>
          <w:rFonts w:ascii="Arial" w:hAnsi="Arial" w:cs="Arial"/>
          <w:sz w:val="24"/>
          <w:szCs w:val="24"/>
        </w:rPr>
        <w:t> ; le résultat financier s’établit à 882 K€ en 2023, en progression de 1 861 K€</w:t>
      </w:r>
      <w:r w:rsidR="00F602A4" w:rsidRPr="000B5123">
        <w:rPr>
          <w:rFonts w:ascii="Arial" w:hAnsi="Arial" w:cs="Arial"/>
          <w:sz w:val="24"/>
          <w:szCs w:val="24"/>
        </w:rPr>
        <w:t>.</w:t>
      </w:r>
      <w:r w:rsidR="001936B3" w:rsidRPr="000B5123">
        <w:rPr>
          <w:rFonts w:ascii="Arial" w:hAnsi="Arial" w:cs="Arial"/>
          <w:sz w:val="24"/>
          <w:szCs w:val="24"/>
        </w:rPr>
        <w:t> </w:t>
      </w:r>
    </w:p>
    <w:p w14:paraId="62230C0A" w14:textId="77777777" w:rsidR="00F26BCA" w:rsidRDefault="001936B3" w:rsidP="00F26BCA">
      <w:pPr>
        <w:pStyle w:val="Paragraphedeliste"/>
        <w:numPr>
          <w:ilvl w:val="0"/>
          <w:numId w:val="1"/>
        </w:numPr>
        <w:ind w:left="851" w:firstLine="0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L</w:t>
      </w:r>
      <w:r w:rsidR="00F442BE" w:rsidRPr="000B5123">
        <w:rPr>
          <w:rFonts w:ascii="Arial" w:hAnsi="Arial" w:cs="Arial"/>
          <w:sz w:val="24"/>
          <w:szCs w:val="24"/>
        </w:rPr>
        <w:t xml:space="preserve">es comptes 2023 enregistrent la vente du local d’un comité selon un acte du </w:t>
      </w:r>
    </w:p>
    <w:p w14:paraId="2CBB206E" w14:textId="3D041EEC" w:rsidR="001936B3" w:rsidRPr="000B5123" w:rsidRDefault="00F442BE" w:rsidP="00F26BCA">
      <w:pPr>
        <w:pStyle w:val="Paragraphedeliste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lastRenderedPageBreak/>
        <w:t>6 janvier 2023 pour 300 K€ qui sera suivi</w:t>
      </w:r>
      <w:r w:rsidR="004A53B4" w:rsidRPr="000B5123">
        <w:rPr>
          <w:rFonts w:ascii="Arial" w:hAnsi="Arial" w:cs="Arial"/>
          <w:sz w:val="24"/>
          <w:szCs w:val="24"/>
        </w:rPr>
        <w:t>e</w:t>
      </w:r>
      <w:r w:rsidRPr="000B5123">
        <w:rPr>
          <w:rFonts w:ascii="Arial" w:hAnsi="Arial" w:cs="Arial"/>
          <w:sz w:val="24"/>
          <w:szCs w:val="24"/>
        </w:rPr>
        <w:t xml:space="preserve"> de l’acquisition d’un local dans l’immeuble à construire sur le même emplacement au terme d’une dation en paiement. </w:t>
      </w:r>
    </w:p>
    <w:p w14:paraId="24EDEC0D" w14:textId="525F0635" w:rsidR="00F442BE" w:rsidRPr="000B5123" w:rsidRDefault="00F442BE" w:rsidP="00F26BCA">
      <w:pPr>
        <w:pStyle w:val="Paragraphedeliste"/>
        <w:numPr>
          <w:ilvl w:val="0"/>
          <w:numId w:val="1"/>
        </w:numPr>
        <w:ind w:left="851" w:firstLine="0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Le périmètre comptable se modifie en 2023 puisque les comptes du comité de Nouméa ne sont pas intégrés</w:t>
      </w:r>
      <w:r w:rsidR="0035232E" w:rsidRPr="000B5123">
        <w:rPr>
          <w:rFonts w:ascii="Arial" w:hAnsi="Arial" w:cs="Arial"/>
          <w:sz w:val="24"/>
          <w:szCs w:val="24"/>
        </w:rPr>
        <w:t xml:space="preserve"> dans les comptes de l’association comme en 2022 ; en 2022 ce comité enregistrait des charges de 255 K€ et des produits de 256 K€, obtenus essentiellement par subventions des collectivités territoriales locales.</w:t>
      </w:r>
    </w:p>
    <w:p w14:paraId="03165414" w14:textId="351F09EA" w:rsidR="00E715D5" w:rsidRPr="000B5123" w:rsidRDefault="00F602A4" w:rsidP="00F26BCA">
      <w:pPr>
        <w:pStyle w:val="Paragraphedeliste"/>
        <w:numPr>
          <w:ilvl w:val="0"/>
          <w:numId w:val="1"/>
        </w:numPr>
        <w:ind w:left="851" w:firstLine="0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Le contrat d’emprunt de 950 K€ </w:t>
      </w:r>
      <w:r w:rsidR="002814F7" w:rsidRPr="000B5123">
        <w:rPr>
          <w:rFonts w:ascii="Arial" w:hAnsi="Arial" w:cs="Arial"/>
          <w:sz w:val="24"/>
          <w:szCs w:val="24"/>
        </w:rPr>
        <w:t xml:space="preserve">a été signé en décembre 2023 ; il est </w:t>
      </w:r>
      <w:r w:rsidRPr="000B5123">
        <w:rPr>
          <w:rFonts w:ascii="Arial" w:hAnsi="Arial" w:cs="Arial"/>
          <w:sz w:val="24"/>
          <w:szCs w:val="24"/>
        </w:rPr>
        <w:t>destiné à financer le P</w:t>
      </w:r>
      <w:r w:rsidR="002814F7" w:rsidRPr="000B5123">
        <w:rPr>
          <w:rFonts w:ascii="Arial" w:hAnsi="Arial" w:cs="Arial"/>
          <w:sz w:val="24"/>
          <w:szCs w:val="24"/>
        </w:rPr>
        <w:t>lan pluriannuel d’investissements</w:t>
      </w:r>
      <w:r w:rsidRPr="000B5123">
        <w:rPr>
          <w:rFonts w:ascii="Arial" w:hAnsi="Arial" w:cs="Arial"/>
          <w:sz w:val="24"/>
          <w:szCs w:val="24"/>
        </w:rPr>
        <w:t xml:space="preserve"> 2023-2027 de notre </w:t>
      </w:r>
      <w:r w:rsidR="001936B3" w:rsidRPr="000B5123">
        <w:rPr>
          <w:rFonts w:ascii="Arial" w:hAnsi="Arial" w:cs="Arial"/>
          <w:sz w:val="24"/>
          <w:szCs w:val="24"/>
        </w:rPr>
        <w:t xml:space="preserve">établissement Odette </w:t>
      </w:r>
      <w:proofErr w:type="spellStart"/>
      <w:r w:rsidR="001936B3" w:rsidRPr="000B5123">
        <w:rPr>
          <w:rFonts w:ascii="Arial" w:hAnsi="Arial" w:cs="Arial"/>
          <w:sz w:val="24"/>
          <w:szCs w:val="24"/>
        </w:rPr>
        <w:t>Witkowska</w:t>
      </w:r>
      <w:proofErr w:type="spellEnd"/>
      <w:r w:rsidR="001936B3" w:rsidRPr="000B5123">
        <w:rPr>
          <w:rFonts w:ascii="Arial" w:hAnsi="Arial" w:cs="Arial"/>
          <w:sz w:val="24"/>
          <w:szCs w:val="24"/>
        </w:rPr>
        <w:t xml:space="preserve"> </w:t>
      </w:r>
      <w:r w:rsidRPr="000B5123">
        <w:rPr>
          <w:rFonts w:ascii="Arial" w:hAnsi="Arial" w:cs="Arial"/>
          <w:sz w:val="24"/>
          <w:szCs w:val="24"/>
        </w:rPr>
        <w:t>portant sur 2</w:t>
      </w:r>
      <w:r w:rsidR="002814F7" w:rsidRPr="000B5123">
        <w:rPr>
          <w:rFonts w:ascii="Arial" w:hAnsi="Arial" w:cs="Arial"/>
          <w:sz w:val="24"/>
          <w:szCs w:val="24"/>
        </w:rPr>
        <w:t xml:space="preserve"> </w:t>
      </w:r>
      <w:r w:rsidRPr="000B5123">
        <w:rPr>
          <w:rFonts w:ascii="Arial" w:hAnsi="Arial" w:cs="Arial"/>
          <w:sz w:val="24"/>
          <w:szCs w:val="24"/>
        </w:rPr>
        <w:t xml:space="preserve">125 </w:t>
      </w:r>
      <w:r w:rsidR="002814F7" w:rsidRPr="000B5123">
        <w:rPr>
          <w:rFonts w:ascii="Arial" w:hAnsi="Arial" w:cs="Arial"/>
          <w:sz w:val="24"/>
          <w:szCs w:val="24"/>
        </w:rPr>
        <w:t>K€</w:t>
      </w:r>
      <w:r w:rsidRPr="000B5123">
        <w:rPr>
          <w:rFonts w:ascii="Arial" w:hAnsi="Arial" w:cs="Arial"/>
          <w:sz w:val="24"/>
          <w:szCs w:val="24"/>
        </w:rPr>
        <w:t>.</w:t>
      </w:r>
      <w:r w:rsidR="00262547" w:rsidRPr="000B5123">
        <w:rPr>
          <w:rFonts w:ascii="Arial" w:hAnsi="Arial" w:cs="Arial"/>
          <w:sz w:val="24"/>
          <w:szCs w:val="24"/>
        </w:rPr>
        <w:t xml:space="preserve"> </w:t>
      </w:r>
    </w:p>
    <w:p w14:paraId="1688DA28" w14:textId="11982CF8" w:rsidR="00262547" w:rsidRPr="000B5123" w:rsidRDefault="000B314D" w:rsidP="00F26BCA">
      <w:pPr>
        <w:pStyle w:val="Paragraphedeliste"/>
        <w:numPr>
          <w:ilvl w:val="0"/>
          <w:numId w:val="1"/>
        </w:numPr>
        <w:ind w:left="851" w:firstLine="0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L</w:t>
      </w:r>
      <w:r w:rsidR="00F602A4" w:rsidRPr="000B5123">
        <w:rPr>
          <w:rFonts w:ascii="Arial" w:hAnsi="Arial" w:cs="Arial"/>
          <w:sz w:val="24"/>
          <w:szCs w:val="24"/>
        </w:rPr>
        <w:t>es travaux de mise en conformité incendie du Siège ont commencé le 15 mai 2023 pour s’achever en juin 2025</w:t>
      </w:r>
      <w:r w:rsidR="00DD1DD0" w:rsidRPr="000B5123">
        <w:rPr>
          <w:rFonts w:ascii="Arial" w:hAnsi="Arial" w:cs="Arial"/>
          <w:sz w:val="24"/>
          <w:szCs w:val="24"/>
        </w:rPr>
        <w:t> ; ils ont été autorisés pour un montant de 6 millions d’euros et des emprunts portant sur 5,8 millions d’euros ont été souscrits auprès des banques</w:t>
      </w:r>
      <w:r w:rsidR="00577D11" w:rsidRPr="000B5123">
        <w:rPr>
          <w:rFonts w:ascii="Arial" w:hAnsi="Arial" w:cs="Arial"/>
          <w:sz w:val="24"/>
          <w:szCs w:val="24"/>
        </w:rPr>
        <w:t> ; près de 1,8 million d’euros ont été dépensés en 2023</w:t>
      </w:r>
      <w:r w:rsidR="00DD1DD0" w:rsidRPr="000B5123">
        <w:rPr>
          <w:rFonts w:ascii="Arial" w:hAnsi="Arial" w:cs="Arial"/>
          <w:sz w:val="24"/>
          <w:szCs w:val="24"/>
        </w:rPr>
        <w:t xml:space="preserve">. </w:t>
      </w:r>
    </w:p>
    <w:p w14:paraId="51C800CF" w14:textId="04E18F82" w:rsidR="003F7A54" w:rsidRDefault="000B5123" w:rsidP="00F26BCA">
      <w:pPr>
        <w:pStyle w:val="Paragraphedeliste"/>
        <w:numPr>
          <w:ilvl w:val="0"/>
          <w:numId w:val="1"/>
        </w:numPr>
        <w:ind w:left="851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="008934A1" w:rsidRPr="000B5123">
        <w:rPr>
          <w:rFonts w:ascii="Arial" w:hAnsi="Arial" w:cs="Arial"/>
          <w:sz w:val="24"/>
          <w:szCs w:val="24"/>
        </w:rPr>
        <w:t xml:space="preserve"> l’issue de son contrôle </w:t>
      </w:r>
      <w:r w:rsidR="0086701F" w:rsidRPr="000B5123">
        <w:rPr>
          <w:rFonts w:ascii="Arial" w:hAnsi="Arial" w:cs="Arial"/>
          <w:sz w:val="24"/>
          <w:szCs w:val="24"/>
        </w:rPr>
        <w:t xml:space="preserve">annoncé par lettre du 28 février </w:t>
      </w:r>
      <w:r w:rsidR="003F7A54" w:rsidRPr="000B5123">
        <w:rPr>
          <w:rFonts w:ascii="Arial" w:hAnsi="Arial" w:cs="Arial"/>
          <w:sz w:val="24"/>
          <w:szCs w:val="24"/>
        </w:rPr>
        <w:t xml:space="preserve">2022, </w:t>
      </w:r>
      <w:r w:rsidR="00DD1DD0" w:rsidRPr="000B5123">
        <w:rPr>
          <w:rFonts w:ascii="Arial" w:hAnsi="Arial" w:cs="Arial"/>
          <w:sz w:val="24"/>
          <w:szCs w:val="24"/>
        </w:rPr>
        <w:t>l</w:t>
      </w:r>
      <w:r w:rsidR="008934A1" w:rsidRPr="000B5123">
        <w:rPr>
          <w:rFonts w:ascii="Arial" w:hAnsi="Arial" w:cs="Arial"/>
          <w:sz w:val="24"/>
          <w:szCs w:val="24"/>
        </w:rPr>
        <w:t xml:space="preserve">a </w:t>
      </w:r>
      <w:r w:rsidR="00DD1DD0" w:rsidRPr="000B5123">
        <w:rPr>
          <w:rFonts w:ascii="Arial" w:hAnsi="Arial" w:cs="Arial"/>
          <w:sz w:val="24"/>
          <w:szCs w:val="24"/>
        </w:rPr>
        <w:t>C</w:t>
      </w:r>
      <w:r w:rsidR="008934A1" w:rsidRPr="000B5123">
        <w:rPr>
          <w:rFonts w:ascii="Arial" w:hAnsi="Arial" w:cs="Arial"/>
          <w:sz w:val="24"/>
          <w:szCs w:val="24"/>
        </w:rPr>
        <w:t xml:space="preserve">our des comptes a </w:t>
      </w:r>
      <w:r w:rsidR="00DD1DD0" w:rsidRPr="000B5123">
        <w:rPr>
          <w:rFonts w:ascii="Arial" w:hAnsi="Arial" w:cs="Arial"/>
          <w:sz w:val="24"/>
          <w:szCs w:val="24"/>
        </w:rPr>
        <w:t>notifié un avis de conformité assorti de deux réserves, l’une concernant la proportion des fonds collectés affectés en missions sociales, l’autre sur l’information des donateurs ; le r</w:t>
      </w:r>
      <w:r w:rsidR="003F7A54" w:rsidRPr="000B5123">
        <w:rPr>
          <w:rFonts w:ascii="Arial" w:hAnsi="Arial" w:cs="Arial"/>
          <w:sz w:val="24"/>
          <w:szCs w:val="24"/>
        </w:rPr>
        <w:t xml:space="preserve">apport définitif </w:t>
      </w:r>
      <w:r w:rsidR="00DD1DD0" w:rsidRPr="000B5123">
        <w:rPr>
          <w:rFonts w:ascii="Arial" w:hAnsi="Arial" w:cs="Arial"/>
          <w:sz w:val="24"/>
          <w:szCs w:val="24"/>
        </w:rPr>
        <w:t>a été publié en juin 2023 sur le site de la Cour ; dès l’exercice 2023</w:t>
      </w:r>
      <w:r>
        <w:rPr>
          <w:rFonts w:ascii="Arial" w:hAnsi="Arial" w:cs="Arial"/>
          <w:sz w:val="24"/>
          <w:szCs w:val="24"/>
        </w:rPr>
        <w:t>,</w:t>
      </w:r>
      <w:r w:rsidR="00DD1DD0" w:rsidRPr="000B5123">
        <w:rPr>
          <w:rFonts w:ascii="Arial" w:hAnsi="Arial" w:cs="Arial"/>
          <w:sz w:val="24"/>
          <w:szCs w:val="24"/>
        </w:rPr>
        <w:t xml:space="preserve"> les corrections recommandées ont été mises en œuvre et sont contenues dans la partie de l’annexe aux comptes consacrée au CROD et au CER. </w:t>
      </w:r>
      <w:r w:rsidR="003F7A54" w:rsidRPr="000B5123">
        <w:rPr>
          <w:rFonts w:ascii="Arial" w:hAnsi="Arial" w:cs="Arial"/>
          <w:sz w:val="24"/>
          <w:szCs w:val="24"/>
        </w:rPr>
        <w:t xml:space="preserve"> </w:t>
      </w:r>
    </w:p>
    <w:p w14:paraId="28E8CEA8" w14:textId="4B4C967B" w:rsidR="00894117" w:rsidRPr="000B5123" w:rsidRDefault="00894117" w:rsidP="008422CD">
      <w:pPr>
        <w:pStyle w:val="Titre1"/>
        <w:ind w:left="851"/>
      </w:pPr>
      <w:bookmarkStart w:id="1" w:name="_Toc168581065"/>
      <w:r w:rsidRPr="000B5123">
        <w:t>Compte de résultat</w:t>
      </w:r>
      <w:bookmarkEnd w:id="1"/>
    </w:p>
    <w:p w14:paraId="064CD6E1" w14:textId="77777777" w:rsidR="00C93DE5" w:rsidRPr="000B5123" w:rsidRDefault="00C93DE5" w:rsidP="00F26BCA">
      <w:pPr>
        <w:spacing w:after="0"/>
        <w:ind w:left="851"/>
        <w:rPr>
          <w:rFonts w:ascii="Arial" w:hAnsi="Arial" w:cs="Arial"/>
          <w:b/>
          <w:sz w:val="24"/>
          <w:szCs w:val="24"/>
        </w:rPr>
      </w:pPr>
    </w:p>
    <w:p w14:paraId="4CDC3307" w14:textId="5F68342B" w:rsidR="00894117" w:rsidRPr="000B5123" w:rsidRDefault="00894117" w:rsidP="00F26BCA">
      <w:pPr>
        <w:spacing w:after="0"/>
        <w:ind w:left="851"/>
        <w:rPr>
          <w:rFonts w:ascii="Arial" w:hAnsi="Arial" w:cs="Arial"/>
          <w:b/>
          <w:sz w:val="24"/>
          <w:szCs w:val="24"/>
        </w:rPr>
      </w:pPr>
      <w:r w:rsidRPr="000B5123">
        <w:rPr>
          <w:rFonts w:ascii="Arial" w:hAnsi="Arial" w:cs="Arial"/>
          <w:b/>
          <w:sz w:val="24"/>
          <w:szCs w:val="24"/>
        </w:rPr>
        <w:t>Les produits d’exploitation s</w:t>
      </w:r>
      <w:r w:rsidR="00984FB3" w:rsidRPr="000B5123">
        <w:rPr>
          <w:rFonts w:ascii="Arial" w:hAnsi="Arial" w:cs="Arial"/>
          <w:b/>
          <w:sz w:val="24"/>
          <w:szCs w:val="24"/>
        </w:rPr>
        <w:t xml:space="preserve">’élèvent </w:t>
      </w:r>
      <w:r w:rsidR="000835CA" w:rsidRPr="000B5123">
        <w:rPr>
          <w:rFonts w:ascii="Arial" w:hAnsi="Arial" w:cs="Arial"/>
          <w:b/>
          <w:sz w:val="24"/>
          <w:szCs w:val="24"/>
        </w:rPr>
        <w:t xml:space="preserve">à </w:t>
      </w:r>
      <w:r w:rsidR="00366851" w:rsidRPr="000B5123">
        <w:rPr>
          <w:rFonts w:ascii="Arial" w:hAnsi="Arial" w:cs="Arial"/>
          <w:b/>
          <w:sz w:val="24"/>
          <w:szCs w:val="24"/>
        </w:rPr>
        <w:t xml:space="preserve">38 942 K€ contre </w:t>
      </w:r>
      <w:r w:rsidR="003F7A54" w:rsidRPr="000B5123">
        <w:rPr>
          <w:rFonts w:ascii="Arial" w:hAnsi="Arial" w:cs="Arial"/>
          <w:b/>
          <w:sz w:val="24"/>
          <w:szCs w:val="24"/>
        </w:rPr>
        <w:t xml:space="preserve">37 331 K€ </w:t>
      </w:r>
      <w:r w:rsidR="005C68C5" w:rsidRPr="000B5123">
        <w:rPr>
          <w:rFonts w:ascii="Arial" w:hAnsi="Arial" w:cs="Arial"/>
          <w:b/>
          <w:sz w:val="24"/>
          <w:szCs w:val="24"/>
        </w:rPr>
        <w:t>en 20</w:t>
      </w:r>
      <w:r w:rsidR="00DB527D" w:rsidRPr="000B5123">
        <w:rPr>
          <w:rFonts w:ascii="Arial" w:hAnsi="Arial" w:cs="Arial"/>
          <w:b/>
          <w:sz w:val="24"/>
          <w:szCs w:val="24"/>
        </w:rPr>
        <w:t>2</w:t>
      </w:r>
      <w:r w:rsidR="00366851" w:rsidRPr="000B5123">
        <w:rPr>
          <w:rFonts w:ascii="Arial" w:hAnsi="Arial" w:cs="Arial"/>
          <w:b/>
          <w:sz w:val="24"/>
          <w:szCs w:val="24"/>
        </w:rPr>
        <w:t>2</w:t>
      </w:r>
      <w:r w:rsidR="000835CA" w:rsidRPr="000B5123">
        <w:rPr>
          <w:rFonts w:ascii="Arial" w:hAnsi="Arial" w:cs="Arial"/>
          <w:b/>
          <w:sz w:val="24"/>
          <w:szCs w:val="24"/>
        </w:rPr>
        <w:t xml:space="preserve">, soit une </w:t>
      </w:r>
      <w:r w:rsidR="00366851" w:rsidRPr="000B5123">
        <w:rPr>
          <w:rFonts w:ascii="Arial" w:hAnsi="Arial" w:cs="Arial"/>
          <w:b/>
          <w:sz w:val="24"/>
          <w:szCs w:val="24"/>
        </w:rPr>
        <w:t xml:space="preserve">augmentation </w:t>
      </w:r>
      <w:r w:rsidR="003F7A54" w:rsidRPr="000B5123">
        <w:rPr>
          <w:rFonts w:ascii="Arial" w:hAnsi="Arial" w:cs="Arial"/>
          <w:b/>
          <w:sz w:val="24"/>
          <w:szCs w:val="24"/>
        </w:rPr>
        <w:t xml:space="preserve">de </w:t>
      </w:r>
      <w:r w:rsidR="00366851" w:rsidRPr="000B5123">
        <w:rPr>
          <w:rFonts w:ascii="Arial" w:hAnsi="Arial" w:cs="Arial"/>
          <w:b/>
          <w:sz w:val="24"/>
          <w:szCs w:val="24"/>
        </w:rPr>
        <w:t>4</w:t>
      </w:r>
      <w:r w:rsidR="003F7A54" w:rsidRPr="000B5123">
        <w:rPr>
          <w:rFonts w:ascii="Arial" w:hAnsi="Arial" w:cs="Arial"/>
          <w:b/>
          <w:sz w:val="24"/>
          <w:szCs w:val="24"/>
        </w:rPr>
        <w:t>,</w:t>
      </w:r>
      <w:r w:rsidR="00366851" w:rsidRPr="000B5123">
        <w:rPr>
          <w:rFonts w:ascii="Arial" w:hAnsi="Arial" w:cs="Arial"/>
          <w:b/>
          <w:sz w:val="24"/>
          <w:szCs w:val="24"/>
        </w:rPr>
        <w:t>3</w:t>
      </w:r>
      <w:r w:rsidR="000835CA" w:rsidRPr="000B5123">
        <w:rPr>
          <w:rFonts w:ascii="Arial" w:hAnsi="Arial" w:cs="Arial"/>
          <w:b/>
          <w:sz w:val="24"/>
          <w:szCs w:val="24"/>
        </w:rPr>
        <w:t xml:space="preserve"> %.</w:t>
      </w:r>
      <w:r w:rsidRPr="000B5123">
        <w:rPr>
          <w:rFonts w:ascii="Arial" w:hAnsi="Arial" w:cs="Arial"/>
          <w:b/>
          <w:sz w:val="24"/>
          <w:szCs w:val="24"/>
        </w:rPr>
        <w:t xml:space="preserve"> </w:t>
      </w:r>
    </w:p>
    <w:p w14:paraId="49AA85F8" w14:textId="77777777" w:rsidR="00F26BCA" w:rsidRDefault="00894117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Les ventes de </w:t>
      </w:r>
      <w:r w:rsidR="00D76C83" w:rsidRPr="000B5123">
        <w:rPr>
          <w:rFonts w:ascii="Arial" w:hAnsi="Arial" w:cs="Arial"/>
          <w:sz w:val="24"/>
          <w:szCs w:val="24"/>
        </w:rPr>
        <w:t>biens concern</w:t>
      </w:r>
      <w:r w:rsidR="00641B7D" w:rsidRPr="000B5123">
        <w:rPr>
          <w:rFonts w:ascii="Arial" w:hAnsi="Arial" w:cs="Arial"/>
          <w:sz w:val="24"/>
          <w:szCs w:val="24"/>
        </w:rPr>
        <w:t>e</w:t>
      </w:r>
      <w:r w:rsidR="00D76C83" w:rsidRPr="000B5123">
        <w:rPr>
          <w:rFonts w:ascii="Arial" w:hAnsi="Arial" w:cs="Arial"/>
          <w:sz w:val="24"/>
          <w:szCs w:val="24"/>
        </w:rPr>
        <w:t xml:space="preserve">nt les </w:t>
      </w:r>
      <w:r w:rsidRPr="000B5123">
        <w:rPr>
          <w:rFonts w:ascii="Arial" w:hAnsi="Arial" w:cs="Arial"/>
          <w:sz w:val="24"/>
          <w:szCs w:val="24"/>
        </w:rPr>
        <w:t>marchandises</w:t>
      </w:r>
      <w:r w:rsidR="00D76C83" w:rsidRPr="000B5123">
        <w:rPr>
          <w:rFonts w:ascii="Arial" w:hAnsi="Arial" w:cs="Arial"/>
          <w:sz w:val="24"/>
          <w:szCs w:val="24"/>
        </w:rPr>
        <w:t xml:space="preserve"> du </w:t>
      </w:r>
      <w:r w:rsidR="00A30B1C" w:rsidRPr="000B5123">
        <w:rPr>
          <w:rFonts w:ascii="Arial" w:hAnsi="Arial" w:cs="Arial"/>
          <w:sz w:val="24"/>
          <w:szCs w:val="24"/>
        </w:rPr>
        <w:t>service du matériel spécialisé</w:t>
      </w:r>
      <w:r w:rsidR="00D76C83" w:rsidRPr="000B5123">
        <w:rPr>
          <w:rFonts w:ascii="Arial" w:hAnsi="Arial" w:cs="Arial"/>
          <w:sz w:val="24"/>
          <w:szCs w:val="24"/>
        </w:rPr>
        <w:t xml:space="preserve"> </w:t>
      </w:r>
      <w:r w:rsidR="00DB527D" w:rsidRPr="000B5123">
        <w:rPr>
          <w:rFonts w:ascii="Arial" w:hAnsi="Arial" w:cs="Arial"/>
          <w:sz w:val="24"/>
          <w:szCs w:val="24"/>
        </w:rPr>
        <w:t xml:space="preserve">ainsi que </w:t>
      </w:r>
      <w:r w:rsidR="00D76C83" w:rsidRPr="000B5123">
        <w:rPr>
          <w:rFonts w:ascii="Arial" w:hAnsi="Arial" w:cs="Arial"/>
          <w:sz w:val="24"/>
          <w:szCs w:val="24"/>
        </w:rPr>
        <w:t xml:space="preserve">le routage </w:t>
      </w:r>
      <w:r w:rsidR="0090114A" w:rsidRPr="000B5123">
        <w:rPr>
          <w:rFonts w:ascii="Arial" w:hAnsi="Arial" w:cs="Arial"/>
          <w:sz w:val="24"/>
          <w:szCs w:val="24"/>
        </w:rPr>
        <w:t>et</w:t>
      </w:r>
      <w:r w:rsidR="00D76C83" w:rsidRPr="000B5123">
        <w:rPr>
          <w:rFonts w:ascii="Arial" w:hAnsi="Arial" w:cs="Arial"/>
          <w:sz w:val="24"/>
          <w:szCs w:val="24"/>
        </w:rPr>
        <w:t xml:space="preserve"> le façonnage d’un établissement de production</w:t>
      </w:r>
      <w:r w:rsidR="00641B7D" w:rsidRPr="000B5123">
        <w:rPr>
          <w:rFonts w:ascii="Arial" w:hAnsi="Arial" w:cs="Arial"/>
          <w:sz w:val="24"/>
          <w:szCs w:val="24"/>
        </w:rPr>
        <w:t xml:space="preserve"> : elles </w:t>
      </w:r>
      <w:r w:rsidR="002F4B72" w:rsidRPr="000B5123">
        <w:rPr>
          <w:rFonts w:ascii="Arial" w:hAnsi="Arial" w:cs="Arial"/>
          <w:sz w:val="24"/>
          <w:szCs w:val="24"/>
        </w:rPr>
        <w:t xml:space="preserve">passent </w:t>
      </w:r>
      <w:r w:rsidR="00641B7D" w:rsidRPr="000B5123">
        <w:rPr>
          <w:rFonts w:ascii="Arial" w:hAnsi="Arial" w:cs="Arial"/>
          <w:sz w:val="24"/>
          <w:szCs w:val="24"/>
        </w:rPr>
        <w:t xml:space="preserve">de </w:t>
      </w:r>
    </w:p>
    <w:p w14:paraId="614B2AB0" w14:textId="77777777" w:rsidR="00F26BCA" w:rsidRDefault="00641B7D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3 434 K€ en 2022</w:t>
      </w:r>
      <w:r w:rsidR="00366851" w:rsidRPr="000B5123">
        <w:rPr>
          <w:rFonts w:ascii="Arial" w:hAnsi="Arial" w:cs="Arial"/>
          <w:sz w:val="24"/>
          <w:szCs w:val="24"/>
        </w:rPr>
        <w:t xml:space="preserve"> à 3 518 K€ en 2023</w:t>
      </w:r>
      <w:r w:rsidRPr="000B5123">
        <w:rPr>
          <w:rFonts w:ascii="Arial" w:hAnsi="Arial" w:cs="Arial"/>
          <w:sz w:val="24"/>
          <w:szCs w:val="24"/>
        </w:rPr>
        <w:t xml:space="preserve">. </w:t>
      </w:r>
      <w:r w:rsidR="005C68C5" w:rsidRPr="000B5123">
        <w:rPr>
          <w:rFonts w:ascii="Arial" w:hAnsi="Arial" w:cs="Arial"/>
          <w:sz w:val="24"/>
          <w:szCs w:val="24"/>
        </w:rPr>
        <w:t xml:space="preserve">La </w:t>
      </w:r>
      <w:r w:rsidR="000348BB" w:rsidRPr="000B5123">
        <w:rPr>
          <w:rFonts w:ascii="Arial" w:hAnsi="Arial" w:cs="Arial"/>
          <w:sz w:val="24"/>
          <w:szCs w:val="24"/>
        </w:rPr>
        <w:t>production vendue</w:t>
      </w:r>
      <w:r w:rsidR="005C68C5" w:rsidRPr="000B5123">
        <w:rPr>
          <w:rFonts w:ascii="Arial" w:hAnsi="Arial" w:cs="Arial"/>
          <w:sz w:val="24"/>
          <w:szCs w:val="24"/>
        </w:rPr>
        <w:t xml:space="preserve"> </w:t>
      </w:r>
      <w:r w:rsidR="00A30B1C" w:rsidRPr="000B5123">
        <w:rPr>
          <w:rFonts w:ascii="Arial" w:hAnsi="Arial" w:cs="Arial"/>
          <w:sz w:val="24"/>
          <w:szCs w:val="24"/>
        </w:rPr>
        <w:t>des ESAT, de</w:t>
      </w:r>
      <w:r w:rsidR="008C6329" w:rsidRPr="000B5123">
        <w:rPr>
          <w:rFonts w:ascii="Arial" w:hAnsi="Arial" w:cs="Arial"/>
          <w:sz w:val="24"/>
          <w:szCs w:val="24"/>
        </w:rPr>
        <w:t xml:space="preserve"> l’</w:t>
      </w:r>
      <w:r w:rsidR="00A30B1C" w:rsidRPr="000B5123">
        <w:rPr>
          <w:rFonts w:ascii="Arial" w:hAnsi="Arial" w:cs="Arial"/>
          <w:sz w:val="24"/>
          <w:szCs w:val="24"/>
        </w:rPr>
        <w:t>EA, du siège</w:t>
      </w:r>
      <w:r w:rsidR="008A3DC2" w:rsidRPr="000B5123">
        <w:rPr>
          <w:rFonts w:ascii="Arial" w:hAnsi="Arial" w:cs="Arial"/>
          <w:sz w:val="24"/>
          <w:szCs w:val="24"/>
        </w:rPr>
        <w:t xml:space="preserve"> </w:t>
      </w:r>
      <w:r w:rsidRPr="000B5123">
        <w:rPr>
          <w:rFonts w:ascii="Arial" w:hAnsi="Arial" w:cs="Arial"/>
          <w:sz w:val="24"/>
          <w:szCs w:val="24"/>
        </w:rPr>
        <w:t>p</w:t>
      </w:r>
      <w:r w:rsidR="002F4B72" w:rsidRPr="000B5123">
        <w:rPr>
          <w:rFonts w:ascii="Arial" w:hAnsi="Arial" w:cs="Arial"/>
          <w:sz w:val="24"/>
          <w:szCs w:val="24"/>
        </w:rPr>
        <w:t xml:space="preserve">asse </w:t>
      </w:r>
      <w:r w:rsidRPr="000B5123">
        <w:rPr>
          <w:rFonts w:ascii="Arial" w:hAnsi="Arial" w:cs="Arial"/>
          <w:sz w:val="24"/>
          <w:szCs w:val="24"/>
        </w:rPr>
        <w:t>de 3 281 K€ en 2022</w:t>
      </w:r>
      <w:r w:rsidR="00366851" w:rsidRPr="000B5123">
        <w:rPr>
          <w:rFonts w:ascii="Arial" w:hAnsi="Arial" w:cs="Arial"/>
          <w:sz w:val="24"/>
          <w:szCs w:val="24"/>
        </w:rPr>
        <w:t xml:space="preserve"> à 3 024 K€ en 2023</w:t>
      </w:r>
      <w:r w:rsidR="008A3DC2" w:rsidRPr="000B5123">
        <w:rPr>
          <w:rFonts w:ascii="Arial" w:hAnsi="Arial" w:cs="Arial"/>
          <w:sz w:val="24"/>
          <w:szCs w:val="24"/>
        </w:rPr>
        <w:t>.</w:t>
      </w:r>
      <w:r w:rsidR="00A30B1C" w:rsidRPr="000B5123">
        <w:rPr>
          <w:rFonts w:ascii="Arial" w:hAnsi="Arial" w:cs="Arial"/>
          <w:sz w:val="24"/>
          <w:szCs w:val="24"/>
        </w:rPr>
        <w:t xml:space="preserve"> </w:t>
      </w:r>
      <w:r w:rsidR="008A3DC2" w:rsidRPr="000B5123">
        <w:rPr>
          <w:rFonts w:ascii="Arial" w:hAnsi="Arial" w:cs="Arial"/>
          <w:sz w:val="24"/>
          <w:szCs w:val="24"/>
        </w:rPr>
        <w:t>Au total</w:t>
      </w:r>
      <w:r w:rsidR="000B5123">
        <w:rPr>
          <w:rFonts w:ascii="Arial" w:hAnsi="Arial" w:cs="Arial"/>
          <w:sz w:val="24"/>
          <w:szCs w:val="24"/>
        </w:rPr>
        <w:t>,</w:t>
      </w:r>
      <w:r w:rsidR="008A3DC2" w:rsidRPr="000B5123">
        <w:rPr>
          <w:rFonts w:ascii="Arial" w:hAnsi="Arial" w:cs="Arial"/>
          <w:sz w:val="24"/>
          <w:szCs w:val="24"/>
        </w:rPr>
        <w:t xml:space="preserve"> </w:t>
      </w:r>
      <w:r w:rsidR="00110EB4" w:rsidRPr="000B5123">
        <w:rPr>
          <w:rFonts w:ascii="Arial" w:hAnsi="Arial" w:cs="Arial"/>
          <w:sz w:val="24"/>
          <w:szCs w:val="24"/>
        </w:rPr>
        <w:t xml:space="preserve">ces deux types de </w:t>
      </w:r>
      <w:r w:rsidR="008A3DC2" w:rsidRPr="000B5123">
        <w:rPr>
          <w:rFonts w:ascii="Arial" w:hAnsi="Arial" w:cs="Arial"/>
          <w:sz w:val="24"/>
          <w:szCs w:val="24"/>
        </w:rPr>
        <w:t>ventes et produits générés par l’activité propre de l’association concernent</w:t>
      </w:r>
      <w:r w:rsidRPr="000B5123">
        <w:rPr>
          <w:rFonts w:ascii="Arial" w:hAnsi="Arial" w:cs="Arial"/>
          <w:sz w:val="24"/>
          <w:szCs w:val="24"/>
        </w:rPr>
        <w:t xml:space="preserve"> </w:t>
      </w:r>
      <w:r w:rsidR="00366851" w:rsidRPr="000B5123">
        <w:rPr>
          <w:rFonts w:ascii="Arial" w:hAnsi="Arial" w:cs="Arial"/>
          <w:sz w:val="24"/>
          <w:szCs w:val="24"/>
        </w:rPr>
        <w:t xml:space="preserve">6 542 K€ contre </w:t>
      </w:r>
    </w:p>
    <w:p w14:paraId="7A2FB3BB" w14:textId="2DE2650B" w:rsidR="000348BB" w:rsidRPr="000B5123" w:rsidRDefault="00641B7D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6 715 K€</w:t>
      </w:r>
      <w:r w:rsidR="008A3DC2" w:rsidRPr="000B5123">
        <w:rPr>
          <w:rFonts w:ascii="Arial" w:hAnsi="Arial" w:cs="Arial"/>
          <w:sz w:val="24"/>
          <w:szCs w:val="24"/>
        </w:rPr>
        <w:t xml:space="preserve"> </w:t>
      </w:r>
      <w:r w:rsidRPr="000B5123">
        <w:rPr>
          <w:rFonts w:ascii="Arial" w:hAnsi="Arial" w:cs="Arial"/>
          <w:sz w:val="24"/>
          <w:szCs w:val="24"/>
        </w:rPr>
        <w:t>en 202</w:t>
      </w:r>
      <w:r w:rsidR="00366851" w:rsidRPr="000B5123">
        <w:rPr>
          <w:rFonts w:ascii="Arial" w:hAnsi="Arial" w:cs="Arial"/>
          <w:sz w:val="24"/>
          <w:szCs w:val="24"/>
        </w:rPr>
        <w:t>2</w:t>
      </w:r>
      <w:r w:rsidR="008A3DC2" w:rsidRPr="000B5123">
        <w:rPr>
          <w:rFonts w:ascii="Arial" w:hAnsi="Arial" w:cs="Arial"/>
          <w:sz w:val="24"/>
          <w:szCs w:val="24"/>
        </w:rPr>
        <w:t xml:space="preserve">, soit une </w:t>
      </w:r>
      <w:r w:rsidR="00366851" w:rsidRPr="000B5123">
        <w:rPr>
          <w:rFonts w:ascii="Arial" w:hAnsi="Arial" w:cs="Arial"/>
          <w:sz w:val="24"/>
          <w:szCs w:val="24"/>
        </w:rPr>
        <w:t>baisse de 2</w:t>
      </w:r>
      <w:r w:rsidR="00690D8C" w:rsidRPr="000B5123">
        <w:rPr>
          <w:rFonts w:ascii="Arial" w:hAnsi="Arial" w:cs="Arial"/>
          <w:sz w:val="24"/>
          <w:szCs w:val="24"/>
        </w:rPr>
        <w:t>,</w:t>
      </w:r>
      <w:r w:rsidR="00366851" w:rsidRPr="000B5123">
        <w:rPr>
          <w:rFonts w:ascii="Arial" w:hAnsi="Arial" w:cs="Arial"/>
          <w:sz w:val="24"/>
          <w:szCs w:val="24"/>
        </w:rPr>
        <w:t>6</w:t>
      </w:r>
      <w:r w:rsidR="008A3DC2" w:rsidRPr="000B5123">
        <w:rPr>
          <w:rFonts w:ascii="Arial" w:hAnsi="Arial" w:cs="Arial"/>
          <w:sz w:val="24"/>
          <w:szCs w:val="24"/>
        </w:rPr>
        <w:t xml:space="preserve"> %.</w:t>
      </w:r>
      <w:r w:rsidR="009122CC" w:rsidRPr="000B5123">
        <w:rPr>
          <w:rFonts w:ascii="Arial" w:hAnsi="Arial" w:cs="Arial"/>
          <w:sz w:val="24"/>
          <w:szCs w:val="24"/>
        </w:rPr>
        <w:t xml:space="preserve"> </w:t>
      </w:r>
    </w:p>
    <w:p w14:paraId="6A99D1A7" w14:textId="5F3EAFE3" w:rsidR="00730B63" w:rsidRPr="000B5123" w:rsidRDefault="00110EB4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Parmi les produits de tiers financeurs, l</w:t>
      </w:r>
      <w:r w:rsidR="00894117" w:rsidRPr="000B5123">
        <w:rPr>
          <w:rFonts w:ascii="Arial" w:hAnsi="Arial" w:cs="Arial"/>
          <w:sz w:val="24"/>
          <w:szCs w:val="24"/>
        </w:rPr>
        <w:t xml:space="preserve">a facturation des journées et la dotation globale se sont élevées à </w:t>
      </w:r>
      <w:r w:rsidR="00655505" w:rsidRPr="000B5123">
        <w:rPr>
          <w:rFonts w:ascii="Arial" w:hAnsi="Arial" w:cs="Arial"/>
          <w:sz w:val="24"/>
          <w:szCs w:val="24"/>
        </w:rPr>
        <w:t>13 9</w:t>
      </w:r>
      <w:r w:rsidR="002814F7" w:rsidRPr="000B5123">
        <w:rPr>
          <w:rFonts w:ascii="Arial" w:hAnsi="Arial" w:cs="Arial"/>
          <w:sz w:val="24"/>
          <w:szCs w:val="24"/>
        </w:rPr>
        <w:t>9</w:t>
      </w:r>
      <w:r w:rsidR="00655505" w:rsidRPr="000B5123">
        <w:rPr>
          <w:rFonts w:ascii="Arial" w:hAnsi="Arial" w:cs="Arial"/>
          <w:sz w:val="24"/>
          <w:szCs w:val="24"/>
        </w:rPr>
        <w:t xml:space="preserve">5 K€ contre </w:t>
      </w:r>
      <w:r w:rsidR="00641B7D" w:rsidRPr="000B5123">
        <w:rPr>
          <w:rFonts w:ascii="Arial" w:hAnsi="Arial" w:cs="Arial"/>
          <w:sz w:val="24"/>
          <w:szCs w:val="24"/>
        </w:rPr>
        <w:t>13 375 K€</w:t>
      </w:r>
      <w:r w:rsidR="00655505" w:rsidRPr="000B5123">
        <w:rPr>
          <w:rFonts w:ascii="Arial" w:hAnsi="Arial" w:cs="Arial"/>
          <w:sz w:val="24"/>
          <w:szCs w:val="24"/>
        </w:rPr>
        <w:t xml:space="preserve"> </w:t>
      </w:r>
      <w:r w:rsidR="008A3DC2" w:rsidRPr="000B5123">
        <w:rPr>
          <w:rFonts w:ascii="Arial" w:hAnsi="Arial" w:cs="Arial"/>
          <w:sz w:val="24"/>
          <w:szCs w:val="24"/>
        </w:rPr>
        <w:t>en 20</w:t>
      </w:r>
      <w:r w:rsidR="00E715D5" w:rsidRPr="000B5123">
        <w:rPr>
          <w:rFonts w:ascii="Arial" w:hAnsi="Arial" w:cs="Arial"/>
          <w:sz w:val="24"/>
          <w:szCs w:val="24"/>
        </w:rPr>
        <w:t>2</w:t>
      </w:r>
      <w:r w:rsidR="00655505" w:rsidRPr="000B5123">
        <w:rPr>
          <w:rFonts w:ascii="Arial" w:hAnsi="Arial" w:cs="Arial"/>
          <w:sz w:val="24"/>
          <w:szCs w:val="24"/>
        </w:rPr>
        <w:t>2</w:t>
      </w:r>
      <w:r w:rsidR="008A3DC2" w:rsidRPr="000B5123">
        <w:rPr>
          <w:rFonts w:ascii="Arial" w:hAnsi="Arial" w:cs="Arial"/>
          <w:sz w:val="24"/>
          <w:szCs w:val="24"/>
        </w:rPr>
        <w:t>. L</w:t>
      </w:r>
      <w:r w:rsidR="00894117" w:rsidRPr="000B5123">
        <w:rPr>
          <w:rFonts w:ascii="Arial" w:hAnsi="Arial" w:cs="Arial"/>
          <w:sz w:val="24"/>
          <w:szCs w:val="24"/>
        </w:rPr>
        <w:t xml:space="preserve">es subventions d’exploitation </w:t>
      </w:r>
      <w:r w:rsidR="00655505" w:rsidRPr="000B5123">
        <w:rPr>
          <w:rFonts w:ascii="Arial" w:hAnsi="Arial" w:cs="Arial"/>
          <w:sz w:val="24"/>
          <w:szCs w:val="24"/>
        </w:rPr>
        <w:t xml:space="preserve">diminuent </w:t>
      </w:r>
      <w:r w:rsidR="00641B7D" w:rsidRPr="000B5123">
        <w:rPr>
          <w:rFonts w:ascii="Arial" w:hAnsi="Arial" w:cs="Arial"/>
          <w:sz w:val="24"/>
          <w:szCs w:val="24"/>
        </w:rPr>
        <w:t xml:space="preserve">: </w:t>
      </w:r>
      <w:r w:rsidR="00655505" w:rsidRPr="000B5123">
        <w:rPr>
          <w:rFonts w:ascii="Arial" w:hAnsi="Arial" w:cs="Arial"/>
          <w:sz w:val="24"/>
          <w:szCs w:val="24"/>
        </w:rPr>
        <w:t xml:space="preserve">684 K€ en 2023 contre </w:t>
      </w:r>
      <w:r w:rsidR="00641B7D" w:rsidRPr="000B5123">
        <w:rPr>
          <w:rFonts w:ascii="Arial" w:hAnsi="Arial" w:cs="Arial"/>
          <w:sz w:val="24"/>
          <w:szCs w:val="24"/>
        </w:rPr>
        <w:t>798 K€ en 2022</w:t>
      </w:r>
      <w:r w:rsidR="00655505" w:rsidRPr="000B5123">
        <w:rPr>
          <w:rFonts w:ascii="Arial" w:hAnsi="Arial" w:cs="Arial"/>
          <w:sz w:val="24"/>
          <w:szCs w:val="24"/>
        </w:rPr>
        <w:t>.</w:t>
      </w:r>
    </w:p>
    <w:p w14:paraId="0807F7DE" w14:textId="77777777" w:rsidR="00F26BCA" w:rsidRDefault="00894117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Le</w:t>
      </w:r>
      <w:r w:rsidR="00903CB0" w:rsidRPr="000B5123">
        <w:rPr>
          <w:rFonts w:ascii="Arial" w:hAnsi="Arial" w:cs="Arial"/>
          <w:sz w:val="24"/>
          <w:szCs w:val="24"/>
        </w:rPr>
        <w:t>s</w:t>
      </w:r>
      <w:r w:rsidRPr="000B5123">
        <w:rPr>
          <w:rFonts w:ascii="Arial" w:hAnsi="Arial" w:cs="Arial"/>
          <w:sz w:val="24"/>
          <w:szCs w:val="24"/>
        </w:rPr>
        <w:t xml:space="preserve"> dons </w:t>
      </w:r>
      <w:r w:rsidR="00110EB4" w:rsidRPr="000B5123">
        <w:rPr>
          <w:rFonts w:ascii="Arial" w:hAnsi="Arial" w:cs="Arial"/>
          <w:sz w:val="24"/>
          <w:szCs w:val="24"/>
        </w:rPr>
        <w:t xml:space="preserve">manuels </w:t>
      </w:r>
      <w:r w:rsidR="008A3DC2" w:rsidRPr="000B5123">
        <w:rPr>
          <w:rFonts w:ascii="Arial" w:hAnsi="Arial" w:cs="Arial"/>
          <w:sz w:val="24"/>
          <w:szCs w:val="24"/>
        </w:rPr>
        <w:t xml:space="preserve">et </w:t>
      </w:r>
      <w:r w:rsidR="00110EB4" w:rsidRPr="000B5123">
        <w:rPr>
          <w:rFonts w:ascii="Arial" w:hAnsi="Arial" w:cs="Arial"/>
          <w:sz w:val="24"/>
          <w:szCs w:val="24"/>
        </w:rPr>
        <w:t xml:space="preserve">les </w:t>
      </w:r>
      <w:r w:rsidR="008A3DC2" w:rsidRPr="000B5123">
        <w:rPr>
          <w:rFonts w:ascii="Arial" w:hAnsi="Arial" w:cs="Arial"/>
          <w:sz w:val="24"/>
          <w:szCs w:val="24"/>
        </w:rPr>
        <w:t xml:space="preserve">mécénats s’élèvent à </w:t>
      </w:r>
      <w:r w:rsidR="00655505" w:rsidRPr="000B5123">
        <w:rPr>
          <w:rFonts w:ascii="Arial" w:hAnsi="Arial" w:cs="Arial"/>
          <w:sz w:val="24"/>
          <w:szCs w:val="24"/>
        </w:rPr>
        <w:t xml:space="preserve">3 451 K€ contre </w:t>
      </w:r>
      <w:r w:rsidR="00641B7D" w:rsidRPr="000B5123">
        <w:rPr>
          <w:rFonts w:ascii="Arial" w:hAnsi="Arial" w:cs="Arial"/>
          <w:sz w:val="24"/>
          <w:szCs w:val="24"/>
        </w:rPr>
        <w:t>3 371 K€</w:t>
      </w:r>
      <w:r w:rsidR="00690D8C" w:rsidRPr="000B5123">
        <w:rPr>
          <w:rFonts w:ascii="Arial" w:hAnsi="Arial" w:cs="Arial"/>
          <w:sz w:val="24"/>
          <w:szCs w:val="24"/>
        </w:rPr>
        <w:t xml:space="preserve"> </w:t>
      </w:r>
      <w:r w:rsidR="00730B63" w:rsidRPr="000B5123">
        <w:rPr>
          <w:rFonts w:ascii="Arial" w:hAnsi="Arial" w:cs="Arial"/>
          <w:sz w:val="24"/>
          <w:szCs w:val="24"/>
        </w:rPr>
        <w:t>en 20</w:t>
      </w:r>
      <w:r w:rsidR="00690D8C" w:rsidRPr="000B5123">
        <w:rPr>
          <w:rFonts w:ascii="Arial" w:hAnsi="Arial" w:cs="Arial"/>
          <w:sz w:val="24"/>
          <w:szCs w:val="24"/>
        </w:rPr>
        <w:t>2</w:t>
      </w:r>
      <w:r w:rsidR="00655505" w:rsidRPr="000B5123">
        <w:rPr>
          <w:rFonts w:ascii="Arial" w:hAnsi="Arial" w:cs="Arial"/>
          <w:sz w:val="24"/>
          <w:szCs w:val="24"/>
        </w:rPr>
        <w:t>2</w:t>
      </w:r>
      <w:r w:rsidR="00E37B22" w:rsidRPr="000B5123">
        <w:rPr>
          <w:rFonts w:ascii="Arial" w:hAnsi="Arial" w:cs="Arial"/>
          <w:sz w:val="24"/>
          <w:szCs w:val="24"/>
        </w:rPr>
        <w:t>, ce</w:t>
      </w:r>
      <w:r w:rsidR="00655505" w:rsidRPr="000B5123">
        <w:rPr>
          <w:rFonts w:ascii="Arial" w:hAnsi="Arial" w:cs="Arial"/>
          <w:sz w:val="24"/>
          <w:szCs w:val="24"/>
        </w:rPr>
        <w:t xml:space="preserve"> retour au niveau de 2021 </w:t>
      </w:r>
      <w:r w:rsidR="00E37B22" w:rsidRPr="000B5123">
        <w:rPr>
          <w:rFonts w:ascii="Arial" w:hAnsi="Arial" w:cs="Arial"/>
          <w:sz w:val="24"/>
          <w:szCs w:val="24"/>
        </w:rPr>
        <w:t xml:space="preserve">s’expliquant principalement par </w:t>
      </w:r>
      <w:r w:rsidR="00655505" w:rsidRPr="000B5123">
        <w:rPr>
          <w:rFonts w:ascii="Arial" w:hAnsi="Arial" w:cs="Arial"/>
          <w:sz w:val="24"/>
          <w:szCs w:val="24"/>
        </w:rPr>
        <w:t xml:space="preserve">le renforcement des </w:t>
      </w:r>
      <w:r w:rsidR="00D6303C" w:rsidRPr="000B5123">
        <w:rPr>
          <w:rFonts w:ascii="Arial" w:hAnsi="Arial" w:cs="Arial"/>
          <w:sz w:val="24"/>
          <w:szCs w:val="24"/>
        </w:rPr>
        <w:t>c</w:t>
      </w:r>
      <w:r w:rsidR="00690D8C" w:rsidRPr="000B5123">
        <w:rPr>
          <w:rFonts w:ascii="Arial" w:hAnsi="Arial" w:cs="Arial"/>
          <w:sz w:val="24"/>
          <w:szCs w:val="24"/>
        </w:rPr>
        <w:t>ampagne</w:t>
      </w:r>
      <w:r w:rsidR="00655505" w:rsidRPr="000B5123">
        <w:rPr>
          <w:rFonts w:ascii="Arial" w:hAnsi="Arial" w:cs="Arial"/>
          <w:sz w:val="24"/>
          <w:szCs w:val="24"/>
        </w:rPr>
        <w:t>s</w:t>
      </w:r>
      <w:r w:rsidR="00690D8C" w:rsidRPr="000B5123">
        <w:rPr>
          <w:rFonts w:ascii="Arial" w:hAnsi="Arial" w:cs="Arial"/>
          <w:sz w:val="24"/>
          <w:szCs w:val="24"/>
        </w:rPr>
        <w:t xml:space="preserve"> d’acquisition </w:t>
      </w:r>
      <w:r w:rsidR="008E4201" w:rsidRPr="000B5123">
        <w:rPr>
          <w:rFonts w:ascii="Arial" w:hAnsi="Arial" w:cs="Arial"/>
          <w:sz w:val="24"/>
          <w:szCs w:val="24"/>
        </w:rPr>
        <w:t>de don</w:t>
      </w:r>
      <w:r w:rsidR="00655505" w:rsidRPr="000B5123">
        <w:rPr>
          <w:rFonts w:ascii="Arial" w:hAnsi="Arial" w:cs="Arial"/>
          <w:sz w:val="24"/>
          <w:szCs w:val="24"/>
        </w:rPr>
        <w:t xml:space="preserve">s. </w:t>
      </w:r>
      <w:r w:rsidR="008E4201" w:rsidRPr="000B5123">
        <w:rPr>
          <w:rFonts w:ascii="Arial" w:hAnsi="Arial" w:cs="Arial"/>
          <w:sz w:val="24"/>
          <w:szCs w:val="24"/>
        </w:rPr>
        <w:t>L</w:t>
      </w:r>
      <w:r w:rsidR="008C760F" w:rsidRPr="000B5123">
        <w:rPr>
          <w:rFonts w:ascii="Arial" w:hAnsi="Arial" w:cs="Arial"/>
          <w:sz w:val="24"/>
          <w:szCs w:val="24"/>
        </w:rPr>
        <w:t xml:space="preserve">es </w:t>
      </w:r>
      <w:r w:rsidR="008E4201" w:rsidRPr="000B5123">
        <w:rPr>
          <w:rFonts w:ascii="Arial" w:hAnsi="Arial" w:cs="Arial"/>
          <w:sz w:val="24"/>
          <w:szCs w:val="24"/>
        </w:rPr>
        <w:t>contribution</w:t>
      </w:r>
      <w:r w:rsidR="008C760F" w:rsidRPr="000B5123">
        <w:rPr>
          <w:rFonts w:ascii="Arial" w:hAnsi="Arial" w:cs="Arial"/>
          <w:sz w:val="24"/>
          <w:szCs w:val="24"/>
        </w:rPr>
        <w:t>s</w:t>
      </w:r>
      <w:r w:rsidR="008E4201" w:rsidRPr="000B5123">
        <w:rPr>
          <w:rFonts w:ascii="Arial" w:hAnsi="Arial" w:cs="Arial"/>
          <w:sz w:val="24"/>
          <w:szCs w:val="24"/>
        </w:rPr>
        <w:t xml:space="preserve"> financière</w:t>
      </w:r>
      <w:r w:rsidR="008C760F" w:rsidRPr="000B5123">
        <w:rPr>
          <w:rFonts w:ascii="Arial" w:hAnsi="Arial" w:cs="Arial"/>
          <w:sz w:val="24"/>
          <w:szCs w:val="24"/>
        </w:rPr>
        <w:t>s incluent celle</w:t>
      </w:r>
      <w:r w:rsidR="008E4201" w:rsidRPr="000B5123">
        <w:rPr>
          <w:rFonts w:ascii="Arial" w:hAnsi="Arial" w:cs="Arial"/>
          <w:sz w:val="24"/>
          <w:szCs w:val="24"/>
        </w:rPr>
        <w:t xml:space="preserve"> de la Fondation Valentin Haüy</w:t>
      </w:r>
      <w:r w:rsidR="002F7BFD" w:rsidRPr="000B5123">
        <w:rPr>
          <w:rFonts w:ascii="Arial" w:hAnsi="Arial" w:cs="Arial"/>
          <w:sz w:val="24"/>
          <w:szCs w:val="24"/>
        </w:rPr>
        <w:t>,</w:t>
      </w:r>
      <w:r w:rsidR="00D6303C" w:rsidRPr="000B5123">
        <w:rPr>
          <w:rFonts w:ascii="Arial" w:hAnsi="Arial" w:cs="Arial"/>
          <w:sz w:val="24"/>
          <w:szCs w:val="24"/>
        </w:rPr>
        <w:t xml:space="preserve"> dont la contribution atteint </w:t>
      </w:r>
      <w:r w:rsidR="00906C1E" w:rsidRPr="000B5123">
        <w:rPr>
          <w:rFonts w:ascii="Arial" w:hAnsi="Arial" w:cs="Arial"/>
          <w:sz w:val="24"/>
          <w:szCs w:val="24"/>
        </w:rPr>
        <w:t>3 </w:t>
      </w:r>
      <w:r w:rsidR="00655505" w:rsidRPr="000B5123">
        <w:rPr>
          <w:rFonts w:ascii="Arial" w:hAnsi="Arial" w:cs="Arial"/>
          <w:sz w:val="24"/>
          <w:szCs w:val="24"/>
        </w:rPr>
        <w:t>0</w:t>
      </w:r>
      <w:r w:rsidR="00906C1E" w:rsidRPr="000B5123">
        <w:rPr>
          <w:rFonts w:ascii="Arial" w:hAnsi="Arial" w:cs="Arial"/>
          <w:sz w:val="24"/>
          <w:szCs w:val="24"/>
        </w:rPr>
        <w:t xml:space="preserve">00 K€ contre </w:t>
      </w:r>
      <w:r w:rsidR="00655505" w:rsidRPr="000B5123">
        <w:rPr>
          <w:rFonts w:ascii="Arial" w:hAnsi="Arial" w:cs="Arial"/>
          <w:sz w:val="24"/>
          <w:szCs w:val="24"/>
        </w:rPr>
        <w:t>3 5</w:t>
      </w:r>
      <w:r w:rsidR="00D6303C" w:rsidRPr="000B5123">
        <w:rPr>
          <w:rFonts w:ascii="Arial" w:hAnsi="Arial" w:cs="Arial"/>
          <w:sz w:val="24"/>
          <w:szCs w:val="24"/>
        </w:rPr>
        <w:t>00 K€ en 202</w:t>
      </w:r>
      <w:r w:rsidR="00655505" w:rsidRPr="000B5123">
        <w:rPr>
          <w:rFonts w:ascii="Arial" w:hAnsi="Arial" w:cs="Arial"/>
          <w:sz w:val="24"/>
          <w:szCs w:val="24"/>
        </w:rPr>
        <w:t>2</w:t>
      </w:r>
      <w:r w:rsidR="00906C1E" w:rsidRPr="000B5123">
        <w:rPr>
          <w:rFonts w:ascii="Arial" w:hAnsi="Arial" w:cs="Arial"/>
          <w:sz w:val="24"/>
          <w:szCs w:val="24"/>
        </w:rPr>
        <w:t>, mais aussi celle de l’APAM pour 2</w:t>
      </w:r>
      <w:r w:rsidR="00655505" w:rsidRPr="000B5123">
        <w:rPr>
          <w:rFonts w:ascii="Arial" w:hAnsi="Arial" w:cs="Arial"/>
          <w:sz w:val="24"/>
          <w:szCs w:val="24"/>
        </w:rPr>
        <w:t>54</w:t>
      </w:r>
      <w:r w:rsidR="00906C1E" w:rsidRPr="000B5123">
        <w:rPr>
          <w:rFonts w:ascii="Arial" w:hAnsi="Arial" w:cs="Arial"/>
          <w:sz w:val="24"/>
          <w:szCs w:val="24"/>
        </w:rPr>
        <w:t xml:space="preserve"> K€ qui vient </w:t>
      </w:r>
      <w:r w:rsidR="002F7BFD" w:rsidRPr="000B5123">
        <w:rPr>
          <w:rFonts w:ascii="Arial" w:hAnsi="Arial" w:cs="Arial"/>
          <w:sz w:val="24"/>
          <w:szCs w:val="24"/>
        </w:rPr>
        <w:t xml:space="preserve">financer les </w:t>
      </w:r>
      <w:r w:rsidR="002F4B72" w:rsidRPr="000B5123">
        <w:rPr>
          <w:rFonts w:ascii="Arial" w:hAnsi="Arial" w:cs="Arial"/>
          <w:sz w:val="24"/>
          <w:szCs w:val="24"/>
        </w:rPr>
        <w:t>activités d</w:t>
      </w:r>
      <w:r w:rsidR="002814F7" w:rsidRPr="000B5123">
        <w:rPr>
          <w:rFonts w:ascii="Arial" w:hAnsi="Arial" w:cs="Arial"/>
          <w:sz w:val="24"/>
          <w:szCs w:val="24"/>
        </w:rPr>
        <w:t>e certains c</w:t>
      </w:r>
      <w:r w:rsidR="002F4B72" w:rsidRPr="000B5123">
        <w:rPr>
          <w:rFonts w:ascii="Arial" w:hAnsi="Arial" w:cs="Arial"/>
          <w:sz w:val="24"/>
          <w:szCs w:val="24"/>
        </w:rPr>
        <w:t>omité</w:t>
      </w:r>
      <w:r w:rsidR="002814F7" w:rsidRPr="000B5123">
        <w:rPr>
          <w:rFonts w:ascii="Arial" w:hAnsi="Arial" w:cs="Arial"/>
          <w:sz w:val="24"/>
          <w:szCs w:val="24"/>
        </w:rPr>
        <w:t>s</w:t>
      </w:r>
      <w:r w:rsidR="002F4B72" w:rsidRPr="000B5123">
        <w:rPr>
          <w:rFonts w:ascii="Arial" w:hAnsi="Arial" w:cs="Arial"/>
          <w:sz w:val="24"/>
          <w:szCs w:val="24"/>
        </w:rPr>
        <w:t xml:space="preserve">. </w:t>
      </w:r>
      <w:r w:rsidR="00903CB0" w:rsidRPr="000B5123">
        <w:rPr>
          <w:rFonts w:ascii="Arial" w:hAnsi="Arial" w:cs="Arial"/>
          <w:sz w:val="24"/>
          <w:szCs w:val="24"/>
        </w:rPr>
        <w:t>Les legs</w:t>
      </w:r>
      <w:r w:rsidRPr="000B5123">
        <w:rPr>
          <w:rFonts w:ascii="Arial" w:hAnsi="Arial" w:cs="Arial"/>
          <w:sz w:val="24"/>
          <w:szCs w:val="24"/>
        </w:rPr>
        <w:t xml:space="preserve"> encaissés</w:t>
      </w:r>
      <w:r w:rsidR="008E4201" w:rsidRPr="000B5123">
        <w:rPr>
          <w:rFonts w:ascii="Arial" w:hAnsi="Arial" w:cs="Arial"/>
          <w:sz w:val="24"/>
          <w:szCs w:val="24"/>
        </w:rPr>
        <w:t xml:space="preserve"> à </w:t>
      </w:r>
      <w:r w:rsidR="00F6039E" w:rsidRPr="000B5123">
        <w:rPr>
          <w:rFonts w:ascii="Arial" w:hAnsi="Arial" w:cs="Arial"/>
          <w:sz w:val="24"/>
          <w:szCs w:val="24"/>
        </w:rPr>
        <w:t>hauteur de</w:t>
      </w:r>
      <w:r w:rsidR="00BD3473" w:rsidRPr="000B5123">
        <w:rPr>
          <w:rFonts w:ascii="Arial" w:hAnsi="Arial" w:cs="Arial"/>
          <w:sz w:val="24"/>
          <w:szCs w:val="24"/>
        </w:rPr>
        <w:t xml:space="preserve"> </w:t>
      </w:r>
      <w:r w:rsidR="00011C31" w:rsidRPr="000B5123">
        <w:rPr>
          <w:rFonts w:ascii="Arial" w:hAnsi="Arial" w:cs="Arial"/>
          <w:sz w:val="24"/>
          <w:szCs w:val="24"/>
        </w:rPr>
        <w:t>6 0</w:t>
      </w:r>
      <w:r w:rsidR="002814F7" w:rsidRPr="000B5123">
        <w:rPr>
          <w:rFonts w:ascii="Arial" w:hAnsi="Arial" w:cs="Arial"/>
          <w:sz w:val="24"/>
          <w:szCs w:val="24"/>
        </w:rPr>
        <w:t>12</w:t>
      </w:r>
      <w:r w:rsidR="00011C31" w:rsidRPr="000B5123">
        <w:rPr>
          <w:rFonts w:ascii="Arial" w:hAnsi="Arial" w:cs="Arial"/>
          <w:sz w:val="24"/>
          <w:szCs w:val="24"/>
        </w:rPr>
        <w:t xml:space="preserve"> K€ contre </w:t>
      </w:r>
      <w:r w:rsidR="00BD3473" w:rsidRPr="000B5123">
        <w:rPr>
          <w:rFonts w:ascii="Arial" w:hAnsi="Arial" w:cs="Arial"/>
          <w:sz w:val="24"/>
          <w:szCs w:val="24"/>
        </w:rPr>
        <w:t>4 77</w:t>
      </w:r>
      <w:r w:rsidR="002F4B72" w:rsidRPr="000B5123">
        <w:rPr>
          <w:rFonts w:ascii="Arial" w:hAnsi="Arial" w:cs="Arial"/>
          <w:sz w:val="24"/>
          <w:szCs w:val="24"/>
        </w:rPr>
        <w:t>6</w:t>
      </w:r>
      <w:r w:rsidR="00BD3473" w:rsidRPr="000B5123">
        <w:rPr>
          <w:rFonts w:ascii="Arial" w:hAnsi="Arial" w:cs="Arial"/>
          <w:sz w:val="24"/>
          <w:szCs w:val="24"/>
        </w:rPr>
        <w:t xml:space="preserve"> K€ </w:t>
      </w:r>
      <w:r w:rsidR="00011C31" w:rsidRPr="000B5123">
        <w:rPr>
          <w:rFonts w:ascii="Arial" w:hAnsi="Arial" w:cs="Arial"/>
          <w:sz w:val="24"/>
          <w:szCs w:val="24"/>
        </w:rPr>
        <w:t xml:space="preserve">en 2022 sont en progression de </w:t>
      </w:r>
    </w:p>
    <w:p w14:paraId="3230589C" w14:textId="1BB19E05" w:rsidR="00110EB4" w:rsidRPr="000B5123" w:rsidRDefault="00011C31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1</w:t>
      </w:r>
      <w:r w:rsidR="002814F7" w:rsidRPr="000B5123">
        <w:rPr>
          <w:rFonts w:ascii="Arial" w:hAnsi="Arial" w:cs="Arial"/>
          <w:sz w:val="24"/>
          <w:szCs w:val="24"/>
        </w:rPr>
        <w:t> </w:t>
      </w:r>
      <w:r w:rsidRPr="000B5123">
        <w:rPr>
          <w:rFonts w:ascii="Arial" w:hAnsi="Arial" w:cs="Arial"/>
          <w:sz w:val="24"/>
          <w:szCs w:val="24"/>
        </w:rPr>
        <w:t>2</w:t>
      </w:r>
      <w:r w:rsidR="002814F7" w:rsidRPr="000B5123">
        <w:rPr>
          <w:rFonts w:ascii="Arial" w:hAnsi="Arial" w:cs="Arial"/>
          <w:sz w:val="24"/>
          <w:szCs w:val="24"/>
        </w:rPr>
        <w:t xml:space="preserve">36 </w:t>
      </w:r>
      <w:r w:rsidRPr="000B5123">
        <w:rPr>
          <w:rFonts w:ascii="Arial" w:hAnsi="Arial" w:cs="Arial"/>
          <w:sz w:val="24"/>
          <w:szCs w:val="24"/>
        </w:rPr>
        <w:t xml:space="preserve">K€ </w:t>
      </w:r>
      <w:r w:rsidR="00FC1352" w:rsidRPr="000B5123">
        <w:rPr>
          <w:rFonts w:ascii="Arial" w:hAnsi="Arial" w:cs="Arial"/>
          <w:sz w:val="24"/>
          <w:szCs w:val="24"/>
        </w:rPr>
        <w:t xml:space="preserve">par rapport à </w:t>
      </w:r>
      <w:r w:rsidR="008E4201" w:rsidRPr="000B5123">
        <w:rPr>
          <w:rFonts w:ascii="Arial" w:hAnsi="Arial" w:cs="Arial"/>
          <w:sz w:val="24"/>
          <w:szCs w:val="24"/>
        </w:rPr>
        <w:t>20</w:t>
      </w:r>
      <w:r w:rsidR="00BD3473" w:rsidRPr="000B5123">
        <w:rPr>
          <w:rFonts w:ascii="Arial" w:hAnsi="Arial" w:cs="Arial"/>
          <w:sz w:val="24"/>
          <w:szCs w:val="24"/>
        </w:rPr>
        <w:t>2</w:t>
      </w:r>
      <w:r w:rsidRPr="000B5123">
        <w:rPr>
          <w:rFonts w:ascii="Arial" w:hAnsi="Arial" w:cs="Arial"/>
          <w:sz w:val="24"/>
          <w:szCs w:val="24"/>
        </w:rPr>
        <w:t>2</w:t>
      </w:r>
      <w:r w:rsidR="00FC1352" w:rsidRPr="000B5123">
        <w:rPr>
          <w:rFonts w:ascii="Arial" w:hAnsi="Arial" w:cs="Arial"/>
          <w:sz w:val="24"/>
          <w:szCs w:val="24"/>
        </w:rPr>
        <w:t>.</w:t>
      </w:r>
    </w:p>
    <w:p w14:paraId="0BD76231" w14:textId="34BCAF27" w:rsidR="002F4B72" w:rsidRDefault="00110EB4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L</w:t>
      </w:r>
      <w:r w:rsidR="008E4201" w:rsidRPr="000B5123">
        <w:rPr>
          <w:rFonts w:ascii="Arial" w:hAnsi="Arial" w:cs="Arial"/>
          <w:sz w:val="24"/>
          <w:szCs w:val="24"/>
        </w:rPr>
        <w:t xml:space="preserve">es autres produits </w:t>
      </w:r>
      <w:r w:rsidR="00BD3473" w:rsidRPr="000B5123">
        <w:rPr>
          <w:rFonts w:ascii="Arial" w:hAnsi="Arial" w:cs="Arial"/>
          <w:sz w:val="24"/>
          <w:szCs w:val="24"/>
        </w:rPr>
        <w:t xml:space="preserve">progressent </w:t>
      </w:r>
      <w:r w:rsidR="00623312" w:rsidRPr="000B5123">
        <w:rPr>
          <w:rFonts w:ascii="Arial" w:hAnsi="Arial" w:cs="Arial"/>
          <w:sz w:val="24"/>
          <w:szCs w:val="24"/>
        </w:rPr>
        <w:t xml:space="preserve">pour passer </w:t>
      </w:r>
      <w:r w:rsidR="00D6303C" w:rsidRPr="000B5123">
        <w:rPr>
          <w:rFonts w:ascii="Arial" w:hAnsi="Arial" w:cs="Arial"/>
          <w:sz w:val="24"/>
          <w:szCs w:val="24"/>
        </w:rPr>
        <w:t xml:space="preserve">de </w:t>
      </w:r>
      <w:r w:rsidR="00BD3473" w:rsidRPr="000B5123">
        <w:rPr>
          <w:rFonts w:ascii="Arial" w:hAnsi="Arial" w:cs="Arial"/>
          <w:sz w:val="24"/>
          <w:szCs w:val="24"/>
        </w:rPr>
        <w:t>3 291 K€</w:t>
      </w:r>
      <w:r w:rsidR="00011C31" w:rsidRPr="000B5123">
        <w:rPr>
          <w:rFonts w:ascii="Arial" w:hAnsi="Arial" w:cs="Arial"/>
          <w:sz w:val="24"/>
          <w:szCs w:val="24"/>
        </w:rPr>
        <w:t xml:space="preserve"> en 2022 à 3 702 K€</w:t>
      </w:r>
      <w:r w:rsidR="004118BF" w:rsidRPr="000B5123">
        <w:rPr>
          <w:rFonts w:ascii="Arial" w:hAnsi="Arial" w:cs="Arial"/>
          <w:sz w:val="24"/>
          <w:szCs w:val="24"/>
        </w:rPr>
        <w:t xml:space="preserve">. </w:t>
      </w:r>
      <w:r w:rsidR="00730B63" w:rsidRPr="000B5123">
        <w:rPr>
          <w:rFonts w:ascii="Arial" w:hAnsi="Arial" w:cs="Arial"/>
          <w:sz w:val="24"/>
          <w:szCs w:val="24"/>
        </w:rPr>
        <w:t>D</w:t>
      </w:r>
      <w:r w:rsidR="009D5952" w:rsidRPr="000B5123">
        <w:rPr>
          <w:rFonts w:ascii="Arial" w:hAnsi="Arial" w:cs="Arial"/>
          <w:sz w:val="24"/>
          <w:szCs w:val="24"/>
        </w:rPr>
        <w:t>ans cette rubrique figure</w:t>
      </w:r>
      <w:r w:rsidR="00903CB0" w:rsidRPr="000B5123">
        <w:rPr>
          <w:rFonts w:ascii="Arial" w:hAnsi="Arial" w:cs="Arial"/>
          <w:sz w:val="24"/>
          <w:szCs w:val="24"/>
        </w:rPr>
        <w:t>nt</w:t>
      </w:r>
      <w:r w:rsidR="009D5952" w:rsidRPr="000B5123">
        <w:rPr>
          <w:rFonts w:ascii="Arial" w:hAnsi="Arial" w:cs="Arial"/>
          <w:sz w:val="24"/>
          <w:szCs w:val="24"/>
        </w:rPr>
        <w:t xml:space="preserve"> </w:t>
      </w:r>
      <w:r w:rsidR="00E6120A" w:rsidRPr="000B5123">
        <w:rPr>
          <w:rFonts w:ascii="Arial" w:hAnsi="Arial" w:cs="Arial"/>
          <w:sz w:val="24"/>
          <w:szCs w:val="24"/>
        </w:rPr>
        <w:t xml:space="preserve">notamment </w:t>
      </w:r>
      <w:r w:rsidR="00894117" w:rsidRPr="000B5123">
        <w:rPr>
          <w:rFonts w:ascii="Arial" w:hAnsi="Arial" w:cs="Arial"/>
          <w:sz w:val="24"/>
          <w:szCs w:val="24"/>
        </w:rPr>
        <w:t>l’aide aux postes versée aux ESAT</w:t>
      </w:r>
      <w:r w:rsidR="007C08CD" w:rsidRPr="000B5123">
        <w:rPr>
          <w:rFonts w:ascii="Arial" w:hAnsi="Arial" w:cs="Arial"/>
          <w:sz w:val="24"/>
          <w:szCs w:val="24"/>
        </w:rPr>
        <w:t>,</w:t>
      </w:r>
      <w:r w:rsidR="00894117" w:rsidRPr="000B5123">
        <w:rPr>
          <w:rFonts w:ascii="Arial" w:hAnsi="Arial" w:cs="Arial"/>
          <w:sz w:val="24"/>
          <w:szCs w:val="24"/>
        </w:rPr>
        <w:t xml:space="preserve"> aux EA et autres établissements </w:t>
      </w:r>
      <w:r w:rsidR="00903CB0" w:rsidRPr="000B5123">
        <w:rPr>
          <w:rFonts w:ascii="Arial" w:hAnsi="Arial" w:cs="Arial"/>
          <w:sz w:val="24"/>
          <w:szCs w:val="24"/>
        </w:rPr>
        <w:t xml:space="preserve">pour </w:t>
      </w:r>
      <w:r w:rsidR="0036316A" w:rsidRPr="000B5123">
        <w:rPr>
          <w:rFonts w:ascii="Arial" w:hAnsi="Arial" w:cs="Arial"/>
          <w:sz w:val="24"/>
          <w:szCs w:val="24"/>
        </w:rPr>
        <w:t xml:space="preserve">2 485 K€ contre </w:t>
      </w:r>
      <w:r w:rsidR="00BD3473" w:rsidRPr="000B5123">
        <w:rPr>
          <w:rFonts w:ascii="Arial" w:hAnsi="Arial" w:cs="Arial"/>
          <w:sz w:val="24"/>
          <w:szCs w:val="24"/>
        </w:rPr>
        <w:t xml:space="preserve">2 414 K€ </w:t>
      </w:r>
      <w:r w:rsidR="002A6A9C" w:rsidRPr="000B5123">
        <w:rPr>
          <w:rFonts w:ascii="Arial" w:hAnsi="Arial" w:cs="Arial"/>
          <w:sz w:val="24"/>
          <w:szCs w:val="24"/>
        </w:rPr>
        <w:t>en 20</w:t>
      </w:r>
      <w:r w:rsidR="00673B87" w:rsidRPr="000B5123">
        <w:rPr>
          <w:rFonts w:ascii="Arial" w:hAnsi="Arial" w:cs="Arial"/>
          <w:sz w:val="24"/>
          <w:szCs w:val="24"/>
        </w:rPr>
        <w:t>2</w:t>
      </w:r>
      <w:r w:rsidR="0036316A" w:rsidRPr="000B5123">
        <w:rPr>
          <w:rFonts w:ascii="Arial" w:hAnsi="Arial" w:cs="Arial"/>
          <w:sz w:val="24"/>
          <w:szCs w:val="24"/>
        </w:rPr>
        <w:t>2</w:t>
      </w:r>
      <w:r w:rsidR="002814F7" w:rsidRPr="000B5123">
        <w:rPr>
          <w:rFonts w:ascii="Arial" w:hAnsi="Arial" w:cs="Arial"/>
          <w:sz w:val="24"/>
          <w:szCs w:val="24"/>
        </w:rPr>
        <w:t xml:space="preserve"> et les participations des bénéficiaires de nos activités pour 645 K€ contre 513 K€ en 2022</w:t>
      </w:r>
      <w:r w:rsidR="002F4B72" w:rsidRPr="000B5123">
        <w:rPr>
          <w:rFonts w:ascii="Arial" w:hAnsi="Arial" w:cs="Arial"/>
          <w:sz w:val="24"/>
          <w:szCs w:val="24"/>
        </w:rPr>
        <w:t>.</w:t>
      </w:r>
    </w:p>
    <w:p w14:paraId="69ADE693" w14:textId="77777777" w:rsidR="001D7C43" w:rsidRPr="000B5123" w:rsidRDefault="001D7C43" w:rsidP="00F26BCA">
      <w:pPr>
        <w:spacing w:after="0"/>
        <w:ind w:left="851"/>
        <w:rPr>
          <w:rFonts w:ascii="Arial" w:hAnsi="Arial" w:cs="Arial"/>
          <w:sz w:val="24"/>
          <w:szCs w:val="24"/>
        </w:rPr>
      </w:pPr>
    </w:p>
    <w:p w14:paraId="36477CBE" w14:textId="77777777" w:rsidR="00C93DE5" w:rsidRPr="000B5123" w:rsidRDefault="00C93DE5" w:rsidP="00F26BCA">
      <w:pPr>
        <w:spacing w:after="0"/>
        <w:ind w:left="851"/>
        <w:rPr>
          <w:rFonts w:ascii="Arial" w:hAnsi="Arial" w:cs="Arial"/>
          <w:sz w:val="24"/>
          <w:szCs w:val="24"/>
        </w:rPr>
      </w:pPr>
    </w:p>
    <w:p w14:paraId="47894F80" w14:textId="77777777" w:rsidR="001A791D" w:rsidRDefault="00894117" w:rsidP="00F26BCA">
      <w:pPr>
        <w:spacing w:after="0"/>
        <w:ind w:left="851"/>
        <w:rPr>
          <w:rFonts w:ascii="Arial" w:hAnsi="Arial" w:cs="Arial"/>
          <w:b/>
          <w:sz w:val="24"/>
          <w:szCs w:val="24"/>
        </w:rPr>
      </w:pPr>
      <w:r w:rsidRPr="000B5123">
        <w:rPr>
          <w:rFonts w:ascii="Arial" w:hAnsi="Arial" w:cs="Arial"/>
          <w:b/>
          <w:sz w:val="24"/>
          <w:szCs w:val="24"/>
        </w:rPr>
        <w:t xml:space="preserve">Les charges d’exploitation </w:t>
      </w:r>
      <w:r w:rsidR="002719DA" w:rsidRPr="000B5123">
        <w:rPr>
          <w:rFonts w:ascii="Arial" w:hAnsi="Arial" w:cs="Arial"/>
          <w:b/>
          <w:sz w:val="24"/>
          <w:szCs w:val="24"/>
        </w:rPr>
        <w:t>s’établi</w:t>
      </w:r>
      <w:r w:rsidR="002F4B72" w:rsidRPr="000B5123">
        <w:rPr>
          <w:rFonts w:ascii="Arial" w:hAnsi="Arial" w:cs="Arial"/>
          <w:b/>
          <w:sz w:val="24"/>
          <w:szCs w:val="24"/>
        </w:rPr>
        <w:t xml:space="preserve">ssent </w:t>
      </w:r>
      <w:r w:rsidR="002719DA" w:rsidRPr="000B5123">
        <w:rPr>
          <w:rFonts w:ascii="Arial" w:hAnsi="Arial" w:cs="Arial"/>
          <w:b/>
          <w:sz w:val="24"/>
          <w:szCs w:val="24"/>
        </w:rPr>
        <w:t xml:space="preserve">à </w:t>
      </w:r>
      <w:r w:rsidR="009C7D29" w:rsidRPr="000B5123">
        <w:rPr>
          <w:rFonts w:ascii="Arial" w:hAnsi="Arial" w:cs="Arial"/>
          <w:b/>
          <w:sz w:val="24"/>
          <w:szCs w:val="24"/>
        </w:rPr>
        <w:t xml:space="preserve">41 975 K€ contre </w:t>
      </w:r>
      <w:r w:rsidR="002719DA" w:rsidRPr="000B5123">
        <w:rPr>
          <w:rFonts w:ascii="Arial" w:hAnsi="Arial" w:cs="Arial"/>
          <w:b/>
          <w:sz w:val="24"/>
          <w:szCs w:val="24"/>
        </w:rPr>
        <w:t>39 966 K€ en 202</w:t>
      </w:r>
      <w:r w:rsidR="009C7D29" w:rsidRPr="000B5123">
        <w:rPr>
          <w:rFonts w:ascii="Arial" w:hAnsi="Arial" w:cs="Arial"/>
          <w:b/>
          <w:sz w:val="24"/>
          <w:szCs w:val="24"/>
        </w:rPr>
        <w:t>2</w:t>
      </w:r>
      <w:r w:rsidR="002719DA" w:rsidRPr="000B5123">
        <w:rPr>
          <w:rFonts w:ascii="Arial" w:hAnsi="Arial" w:cs="Arial"/>
          <w:b/>
          <w:sz w:val="24"/>
          <w:szCs w:val="24"/>
        </w:rPr>
        <w:t xml:space="preserve">, </w:t>
      </w:r>
    </w:p>
    <w:p w14:paraId="6F89550B" w14:textId="7C78F62E" w:rsidR="001B0A54" w:rsidRPr="000B5123" w:rsidRDefault="002719DA" w:rsidP="00F26BCA">
      <w:pPr>
        <w:spacing w:after="0"/>
        <w:ind w:left="851"/>
        <w:rPr>
          <w:rFonts w:ascii="Arial" w:hAnsi="Arial" w:cs="Arial"/>
          <w:b/>
          <w:sz w:val="24"/>
          <w:szCs w:val="24"/>
        </w:rPr>
      </w:pPr>
      <w:proofErr w:type="gramStart"/>
      <w:r w:rsidRPr="000B5123">
        <w:rPr>
          <w:rFonts w:ascii="Arial" w:hAnsi="Arial" w:cs="Arial"/>
          <w:b/>
          <w:sz w:val="24"/>
          <w:szCs w:val="24"/>
        </w:rPr>
        <w:lastRenderedPageBreak/>
        <w:t>soit</w:t>
      </w:r>
      <w:proofErr w:type="gramEnd"/>
      <w:r w:rsidRPr="000B5123">
        <w:rPr>
          <w:rFonts w:ascii="Arial" w:hAnsi="Arial" w:cs="Arial"/>
          <w:b/>
          <w:sz w:val="24"/>
          <w:szCs w:val="24"/>
        </w:rPr>
        <w:t xml:space="preserve"> +</w:t>
      </w:r>
      <w:r w:rsidR="007738D7">
        <w:rPr>
          <w:rFonts w:ascii="Arial" w:hAnsi="Arial" w:cs="Arial"/>
          <w:b/>
          <w:sz w:val="24"/>
          <w:szCs w:val="24"/>
        </w:rPr>
        <w:t xml:space="preserve"> </w:t>
      </w:r>
      <w:r w:rsidR="009C7D29" w:rsidRPr="000B5123">
        <w:rPr>
          <w:rFonts w:ascii="Arial" w:hAnsi="Arial" w:cs="Arial"/>
          <w:b/>
          <w:sz w:val="24"/>
          <w:szCs w:val="24"/>
        </w:rPr>
        <w:t>5</w:t>
      </w:r>
      <w:r w:rsidRPr="000B5123">
        <w:rPr>
          <w:rFonts w:ascii="Arial" w:hAnsi="Arial" w:cs="Arial"/>
          <w:b/>
          <w:sz w:val="24"/>
          <w:szCs w:val="24"/>
        </w:rPr>
        <w:t>,</w:t>
      </w:r>
      <w:r w:rsidR="009C7D29" w:rsidRPr="000B5123">
        <w:rPr>
          <w:rFonts w:ascii="Arial" w:hAnsi="Arial" w:cs="Arial"/>
          <w:b/>
          <w:sz w:val="24"/>
          <w:szCs w:val="24"/>
        </w:rPr>
        <w:t xml:space="preserve">0 </w:t>
      </w:r>
      <w:r w:rsidRPr="000B5123">
        <w:rPr>
          <w:rFonts w:ascii="Arial" w:hAnsi="Arial" w:cs="Arial"/>
          <w:b/>
          <w:sz w:val="24"/>
          <w:szCs w:val="24"/>
        </w:rPr>
        <w:t>%.</w:t>
      </w:r>
    </w:p>
    <w:p w14:paraId="33CF361B" w14:textId="77777777" w:rsidR="001A791D" w:rsidRDefault="004118BF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Les </w:t>
      </w:r>
      <w:r w:rsidR="00A73A33" w:rsidRPr="000B5123">
        <w:rPr>
          <w:rFonts w:ascii="Arial" w:hAnsi="Arial" w:cs="Arial"/>
          <w:sz w:val="24"/>
          <w:szCs w:val="24"/>
        </w:rPr>
        <w:t>achats de marchandises, de matières premières et la variation de stocks</w:t>
      </w:r>
      <w:r w:rsidRPr="000B5123">
        <w:rPr>
          <w:rFonts w:ascii="Arial" w:hAnsi="Arial" w:cs="Arial"/>
          <w:sz w:val="24"/>
          <w:szCs w:val="24"/>
        </w:rPr>
        <w:t xml:space="preserve"> </w:t>
      </w:r>
      <w:r w:rsidR="002719DA" w:rsidRPr="000B5123">
        <w:rPr>
          <w:rFonts w:ascii="Arial" w:hAnsi="Arial" w:cs="Arial"/>
          <w:sz w:val="24"/>
          <w:szCs w:val="24"/>
        </w:rPr>
        <w:t xml:space="preserve">sont en </w:t>
      </w:r>
      <w:r w:rsidR="007D6F81" w:rsidRPr="000B5123">
        <w:rPr>
          <w:rFonts w:ascii="Arial" w:hAnsi="Arial" w:cs="Arial"/>
          <w:sz w:val="24"/>
          <w:szCs w:val="24"/>
        </w:rPr>
        <w:t>hau</w:t>
      </w:r>
      <w:r w:rsidR="002719DA" w:rsidRPr="000B5123">
        <w:rPr>
          <w:rFonts w:ascii="Arial" w:hAnsi="Arial" w:cs="Arial"/>
          <w:sz w:val="24"/>
          <w:szCs w:val="24"/>
        </w:rPr>
        <w:t xml:space="preserve">sse à </w:t>
      </w:r>
      <w:r w:rsidR="007D6F81" w:rsidRPr="000B5123">
        <w:rPr>
          <w:rFonts w:ascii="Arial" w:hAnsi="Arial" w:cs="Arial"/>
          <w:sz w:val="24"/>
          <w:szCs w:val="24"/>
        </w:rPr>
        <w:t xml:space="preserve">2 249 K€ contre </w:t>
      </w:r>
      <w:r w:rsidR="002719DA" w:rsidRPr="000B5123">
        <w:rPr>
          <w:rFonts w:ascii="Arial" w:hAnsi="Arial" w:cs="Arial"/>
          <w:sz w:val="24"/>
          <w:szCs w:val="24"/>
        </w:rPr>
        <w:t>2 135 K€</w:t>
      </w:r>
      <w:r w:rsidR="00673B87" w:rsidRPr="000B5123">
        <w:rPr>
          <w:rFonts w:ascii="Arial" w:hAnsi="Arial" w:cs="Arial"/>
          <w:sz w:val="24"/>
          <w:szCs w:val="24"/>
        </w:rPr>
        <w:t xml:space="preserve"> </w:t>
      </w:r>
      <w:r w:rsidR="004E74E1" w:rsidRPr="000B5123">
        <w:rPr>
          <w:rFonts w:ascii="Arial" w:hAnsi="Arial" w:cs="Arial"/>
          <w:sz w:val="24"/>
          <w:szCs w:val="24"/>
        </w:rPr>
        <w:t>en 20</w:t>
      </w:r>
      <w:r w:rsidR="00673B87" w:rsidRPr="000B5123">
        <w:rPr>
          <w:rFonts w:ascii="Arial" w:hAnsi="Arial" w:cs="Arial"/>
          <w:sz w:val="24"/>
          <w:szCs w:val="24"/>
        </w:rPr>
        <w:t>2</w:t>
      </w:r>
      <w:r w:rsidR="007D6F81" w:rsidRPr="000B5123">
        <w:rPr>
          <w:rFonts w:ascii="Arial" w:hAnsi="Arial" w:cs="Arial"/>
          <w:sz w:val="24"/>
          <w:szCs w:val="24"/>
        </w:rPr>
        <w:t>2</w:t>
      </w:r>
      <w:r w:rsidRPr="000B5123">
        <w:rPr>
          <w:rFonts w:ascii="Arial" w:hAnsi="Arial" w:cs="Arial"/>
          <w:sz w:val="24"/>
          <w:szCs w:val="24"/>
        </w:rPr>
        <w:t xml:space="preserve">. Les </w:t>
      </w:r>
      <w:r w:rsidR="004E74E1" w:rsidRPr="000B5123">
        <w:rPr>
          <w:rFonts w:ascii="Arial" w:hAnsi="Arial" w:cs="Arial"/>
          <w:sz w:val="24"/>
          <w:szCs w:val="24"/>
        </w:rPr>
        <w:t xml:space="preserve">autres achats et charges externes </w:t>
      </w:r>
      <w:r w:rsidRPr="000B5123">
        <w:rPr>
          <w:rFonts w:ascii="Arial" w:hAnsi="Arial" w:cs="Arial"/>
          <w:sz w:val="24"/>
          <w:szCs w:val="24"/>
        </w:rPr>
        <w:t>s</w:t>
      </w:r>
      <w:r w:rsidR="00A448A4" w:rsidRPr="000B5123">
        <w:rPr>
          <w:rFonts w:ascii="Arial" w:hAnsi="Arial" w:cs="Arial"/>
          <w:sz w:val="24"/>
          <w:szCs w:val="24"/>
        </w:rPr>
        <w:t>ont en hausse</w:t>
      </w:r>
      <w:r w:rsidR="00D4707D" w:rsidRPr="000B5123">
        <w:rPr>
          <w:rFonts w:ascii="Arial" w:hAnsi="Arial" w:cs="Arial"/>
          <w:sz w:val="24"/>
          <w:szCs w:val="24"/>
        </w:rPr>
        <w:t xml:space="preserve"> de 1 </w:t>
      </w:r>
      <w:r w:rsidR="007D6F81" w:rsidRPr="000B5123">
        <w:rPr>
          <w:rFonts w:ascii="Arial" w:hAnsi="Arial" w:cs="Arial"/>
          <w:sz w:val="24"/>
          <w:szCs w:val="24"/>
        </w:rPr>
        <w:t>1</w:t>
      </w:r>
      <w:r w:rsidR="00D4707D" w:rsidRPr="000B5123">
        <w:rPr>
          <w:rFonts w:ascii="Arial" w:hAnsi="Arial" w:cs="Arial"/>
          <w:sz w:val="24"/>
          <w:szCs w:val="24"/>
        </w:rPr>
        <w:t>5</w:t>
      </w:r>
      <w:r w:rsidR="007D6F81" w:rsidRPr="000B5123">
        <w:rPr>
          <w:rFonts w:ascii="Arial" w:hAnsi="Arial" w:cs="Arial"/>
          <w:sz w:val="24"/>
          <w:szCs w:val="24"/>
        </w:rPr>
        <w:t>9</w:t>
      </w:r>
      <w:r w:rsidR="00D4707D" w:rsidRPr="000B5123">
        <w:rPr>
          <w:rFonts w:ascii="Arial" w:hAnsi="Arial" w:cs="Arial"/>
          <w:sz w:val="24"/>
          <w:szCs w:val="24"/>
        </w:rPr>
        <w:t xml:space="preserve"> K€</w:t>
      </w:r>
      <w:r w:rsidR="00A448A4" w:rsidRPr="000B5123">
        <w:rPr>
          <w:rFonts w:ascii="Arial" w:hAnsi="Arial" w:cs="Arial"/>
          <w:sz w:val="24"/>
          <w:szCs w:val="24"/>
        </w:rPr>
        <w:t xml:space="preserve"> : </w:t>
      </w:r>
      <w:r w:rsidR="007D6F81" w:rsidRPr="000B5123">
        <w:rPr>
          <w:rFonts w:ascii="Arial" w:hAnsi="Arial" w:cs="Arial"/>
          <w:sz w:val="24"/>
          <w:szCs w:val="24"/>
        </w:rPr>
        <w:t xml:space="preserve">12 486 K€ contre </w:t>
      </w:r>
      <w:r w:rsidR="00A448A4" w:rsidRPr="000B5123">
        <w:rPr>
          <w:rFonts w:ascii="Arial" w:hAnsi="Arial" w:cs="Arial"/>
          <w:sz w:val="24"/>
          <w:szCs w:val="24"/>
        </w:rPr>
        <w:t>11 327 K€</w:t>
      </w:r>
      <w:r w:rsidRPr="000B5123">
        <w:rPr>
          <w:rFonts w:ascii="Arial" w:hAnsi="Arial" w:cs="Arial"/>
          <w:sz w:val="24"/>
          <w:szCs w:val="24"/>
        </w:rPr>
        <w:t xml:space="preserve"> </w:t>
      </w:r>
      <w:r w:rsidR="004E74E1" w:rsidRPr="000B5123">
        <w:rPr>
          <w:rFonts w:ascii="Arial" w:hAnsi="Arial" w:cs="Arial"/>
          <w:sz w:val="24"/>
          <w:szCs w:val="24"/>
        </w:rPr>
        <w:t>en 20</w:t>
      </w:r>
      <w:r w:rsidR="00674241" w:rsidRPr="000B5123">
        <w:rPr>
          <w:rFonts w:ascii="Arial" w:hAnsi="Arial" w:cs="Arial"/>
          <w:sz w:val="24"/>
          <w:szCs w:val="24"/>
        </w:rPr>
        <w:t>2</w:t>
      </w:r>
      <w:r w:rsidR="007D6F81" w:rsidRPr="000B5123">
        <w:rPr>
          <w:rFonts w:ascii="Arial" w:hAnsi="Arial" w:cs="Arial"/>
          <w:sz w:val="24"/>
          <w:szCs w:val="24"/>
        </w:rPr>
        <w:t>2</w:t>
      </w:r>
      <w:r w:rsidRPr="000B5123">
        <w:rPr>
          <w:rFonts w:ascii="Arial" w:hAnsi="Arial" w:cs="Arial"/>
          <w:sz w:val="24"/>
          <w:szCs w:val="24"/>
        </w:rPr>
        <w:t xml:space="preserve">. Les </w:t>
      </w:r>
      <w:r w:rsidR="004E74E1" w:rsidRPr="000B5123">
        <w:rPr>
          <w:rFonts w:ascii="Arial" w:hAnsi="Arial" w:cs="Arial"/>
          <w:sz w:val="24"/>
          <w:szCs w:val="24"/>
        </w:rPr>
        <w:t>rémunérations du personnel avec leurs charges sociales et taxes sur rémunérations</w:t>
      </w:r>
      <w:r w:rsidR="00894117" w:rsidRPr="000B5123">
        <w:rPr>
          <w:rFonts w:ascii="Arial" w:hAnsi="Arial" w:cs="Arial"/>
          <w:sz w:val="24"/>
          <w:szCs w:val="24"/>
        </w:rPr>
        <w:t xml:space="preserve"> </w:t>
      </w:r>
      <w:r w:rsidRPr="000B5123">
        <w:rPr>
          <w:rFonts w:ascii="Arial" w:hAnsi="Arial" w:cs="Arial"/>
          <w:sz w:val="24"/>
          <w:szCs w:val="24"/>
        </w:rPr>
        <w:t xml:space="preserve">s’élèvent à </w:t>
      </w:r>
      <w:r w:rsidR="007D6F81" w:rsidRPr="000B5123">
        <w:rPr>
          <w:rFonts w:ascii="Arial" w:hAnsi="Arial" w:cs="Arial"/>
          <w:sz w:val="24"/>
          <w:szCs w:val="24"/>
        </w:rPr>
        <w:t xml:space="preserve">23 252 K€ contre </w:t>
      </w:r>
      <w:r w:rsidR="00674241" w:rsidRPr="000B5123">
        <w:rPr>
          <w:rFonts w:ascii="Arial" w:hAnsi="Arial" w:cs="Arial"/>
          <w:sz w:val="24"/>
          <w:szCs w:val="24"/>
        </w:rPr>
        <w:t>2</w:t>
      </w:r>
      <w:r w:rsidR="00D4707D" w:rsidRPr="000B5123">
        <w:rPr>
          <w:rFonts w:ascii="Arial" w:hAnsi="Arial" w:cs="Arial"/>
          <w:sz w:val="24"/>
          <w:szCs w:val="24"/>
        </w:rPr>
        <w:t>2 271</w:t>
      </w:r>
      <w:r w:rsidR="00674241" w:rsidRPr="000B5123">
        <w:rPr>
          <w:rFonts w:ascii="Arial" w:hAnsi="Arial" w:cs="Arial"/>
          <w:sz w:val="24"/>
          <w:szCs w:val="24"/>
        </w:rPr>
        <w:t xml:space="preserve"> K€ </w:t>
      </w:r>
      <w:r w:rsidR="004E74E1" w:rsidRPr="000B5123">
        <w:rPr>
          <w:rFonts w:ascii="Arial" w:hAnsi="Arial" w:cs="Arial"/>
          <w:sz w:val="24"/>
          <w:szCs w:val="24"/>
        </w:rPr>
        <w:t>en 20</w:t>
      </w:r>
      <w:r w:rsidR="00674241" w:rsidRPr="000B5123">
        <w:rPr>
          <w:rFonts w:ascii="Arial" w:hAnsi="Arial" w:cs="Arial"/>
          <w:sz w:val="24"/>
          <w:szCs w:val="24"/>
        </w:rPr>
        <w:t>2</w:t>
      </w:r>
      <w:r w:rsidR="007D6F81" w:rsidRPr="000B5123">
        <w:rPr>
          <w:rFonts w:ascii="Arial" w:hAnsi="Arial" w:cs="Arial"/>
          <w:sz w:val="24"/>
          <w:szCs w:val="24"/>
        </w:rPr>
        <w:t>2</w:t>
      </w:r>
      <w:r w:rsidR="00D4707D" w:rsidRPr="000B5123">
        <w:rPr>
          <w:rFonts w:ascii="Arial" w:hAnsi="Arial" w:cs="Arial"/>
          <w:sz w:val="24"/>
          <w:szCs w:val="24"/>
        </w:rPr>
        <w:t xml:space="preserve">, soit une hausse de </w:t>
      </w:r>
      <w:r w:rsidR="007D6F81" w:rsidRPr="000B5123">
        <w:rPr>
          <w:rFonts w:ascii="Arial" w:hAnsi="Arial" w:cs="Arial"/>
          <w:sz w:val="24"/>
          <w:szCs w:val="24"/>
        </w:rPr>
        <w:t>981</w:t>
      </w:r>
      <w:r w:rsidR="00D4707D" w:rsidRPr="000B5123">
        <w:rPr>
          <w:rFonts w:ascii="Arial" w:hAnsi="Arial" w:cs="Arial"/>
          <w:sz w:val="24"/>
          <w:szCs w:val="24"/>
        </w:rPr>
        <w:t xml:space="preserve"> K€</w:t>
      </w:r>
      <w:r w:rsidR="00691723" w:rsidRPr="000B5123">
        <w:rPr>
          <w:rFonts w:ascii="Arial" w:hAnsi="Arial" w:cs="Arial"/>
          <w:sz w:val="24"/>
          <w:szCs w:val="24"/>
        </w:rPr>
        <w:t xml:space="preserve">. </w:t>
      </w:r>
      <w:r w:rsidR="00220B9F" w:rsidRPr="000B5123">
        <w:rPr>
          <w:rFonts w:ascii="Arial" w:hAnsi="Arial" w:cs="Arial"/>
          <w:sz w:val="24"/>
          <w:szCs w:val="24"/>
        </w:rPr>
        <w:t xml:space="preserve">La </w:t>
      </w:r>
      <w:r w:rsidR="00691723" w:rsidRPr="000B5123">
        <w:rPr>
          <w:rFonts w:ascii="Arial" w:hAnsi="Arial" w:cs="Arial"/>
          <w:sz w:val="24"/>
          <w:szCs w:val="24"/>
        </w:rPr>
        <w:t>provision pour risques et charges</w:t>
      </w:r>
      <w:r w:rsidR="0080119D" w:rsidRPr="000B5123">
        <w:rPr>
          <w:rFonts w:ascii="Arial" w:hAnsi="Arial" w:cs="Arial"/>
          <w:sz w:val="24"/>
          <w:szCs w:val="24"/>
        </w:rPr>
        <w:t>, constitué</w:t>
      </w:r>
      <w:r w:rsidR="002F4B72" w:rsidRPr="000B5123">
        <w:rPr>
          <w:rFonts w:ascii="Arial" w:hAnsi="Arial" w:cs="Arial"/>
          <w:sz w:val="24"/>
          <w:szCs w:val="24"/>
        </w:rPr>
        <w:t>e</w:t>
      </w:r>
      <w:r w:rsidR="0080119D" w:rsidRPr="000B5123">
        <w:rPr>
          <w:rFonts w:ascii="Arial" w:hAnsi="Arial" w:cs="Arial"/>
          <w:sz w:val="24"/>
          <w:szCs w:val="24"/>
        </w:rPr>
        <w:t xml:space="preserve"> par </w:t>
      </w:r>
      <w:r w:rsidR="00664232" w:rsidRPr="000B5123">
        <w:rPr>
          <w:rFonts w:ascii="Arial" w:hAnsi="Arial" w:cs="Arial"/>
          <w:sz w:val="24"/>
          <w:szCs w:val="24"/>
        </w:rPr>
        <w:t xml:space="preserve">la </w:t>
      </w:r>
      <w:r w:rsidR="00220B9F" w:rsidRPr="000B5123">
        <w:rPr>
          <w:rFonts w:ascii="Arial" w:hAnsi="Arial" w:cs="Arial"/>
          <w:sz w:val="24"/>
          <w:szCs w:val="24"/>
        </w:rPr>
        <w:t>provision pour indemnité</w:t>
      </w:r>
      <w:r w:rsidR="00903CB0" w:rsidRPr="000B5123">
        <w:rPr>
          <w:rFonts w:ascii="Arial" w:hAnsi="Arial" w:cs="Arial"/>
          <w:sz w:val="24"/>
          <w:szCs w:val="24"/>
        </w:rPr>
        <w:t>s</w:t>
      </w:r>
      <w:r w:rsidR="00220B9F" w:rsidRPr="000B5123">
        <w:rPr>
          <w:rFonts w:ascii="Arial" w:hAnsi="Arial" w:cs="Arial"/>
          <w:sz w:val="24"/>
          <w:szCs w:val="24"/>
        </w:rPr>
        <w:t xml:space="preserve"> de fin de carrière</w:t>
      </w:r>
      <w:r w:rsidR="00AB2497" w:rsidRPr="000B5123">
        <w:rPr>
          <w:rFonts w:ascii="Arial" w:hAnsi="Arial" w:cs="Arial"/>
          <w:sz w:val="24"/>
          <w:szCs w:val="24"/>
        </w:rPr>
        <w:t xml:space="preserve"> et médaille</w:t>
      </w:r>
      <w:r w:rsidR="00C7301A">
        <w:rPr>
          <w:rFonts w:ascii="Arial" w:hAnsi="Arial" w:cs="Arial"/>
          <w:sz w:val="24"/>
          <w:szCs w:val="24"/>
        </w:rPr>
        <w:t>s</w:t>
      </w:r>
      <w:r w:rsidR="00AB2497" w:rsidRPr="000B5123">
        <w:rPr>
          <w:rFonts w:ascii="Arial" w:hAnsi="Arial" w:cs="Arial"/>
          <w:sz w:val="24"/>
          <w:szCs w:val="24"/>
        </w:rPr>
        <w:t xml:space="preserve"> du travail </w:t>
      </w:r>
      <w:r w:rsidR="00664232" w:rsidRPr="000B5123">
        <w:rPr>
          <w:rFonts w:ascii="Arial" w:hAnsi="Arial" w:cs="Arial"/>
          <w:sz w:val="24"/>
          <w:szCs w:val="24"/>
        </w:rPr>
        <w:t xml:space="preserve">ainsi que </w:t>
      </w:r>
      <w:r w:rsidR="0080119D" w:rsidRPr="000B5123">
        <w:rPr>
          <w:rFonts w:ascii="Arial" w:hAnsi="Arial" w:cs="Arial"/>
          <w:sz w:val="24"/>
          <w:szCs w:val="24"/>
        </w:rPr>
        <w:t xml:space="preserve">par </w:t>
      </w:r>
      <w:r w:rsidR="00664232" w:rsidRPr="000B5123">
        <w:rPr>
          <w:rFonts w:ascii="Arial" w:hAnsi="Arial" w:cs="Arial"/>
          <w:sz w:val="24"/>
          <w:szCs w:val="24"/>
        </w:rPr>
        <w:t xml:space="preserve">celle pour litiges </w:t>
      </w:r>
      <w:r w:rsidR="00FE3928" w:rsidRPr="000B5123">
        <w:rPr>
          <w:rFonts w:ascii="Arial" w:hAnsi="Arial" w:cs="Arial"/>
          <w:sz w:val="24"/>
          <w:szCs w:val="24"/>
        </w:rPr>
        <w:t xml:space="preserve">salariaux, </w:t>
      </w:r>
      <w:r w:rsidR="007D6F81" w:rsidRPr="000B5123">
        <w:rPr>
          <w:rFonts w:ascii="Arial" w:hAnsi="Arial" w:cs="Arial"/>
          <w:sz w:val="24"/>
          <w:szCs w:val="24"/>
        </w:rPr>
        <w:t xml:space="preserve">augmente de 46 K€ après une baisse de </w:t>
      </w:r>
      <w:r w:rsidR="000662C0" w:rsidRPr="000B5123">
        <w:rPr>
          <w:rFonts w:ascii="Arial" w:hAnsi="Arial" w:cs="Arial"/>
          <w:sz w:val="24"/>
          <w:szCs w:val="24"/>
        </w:rPr>
        <w:t xml:space="preserve">428 K€ </w:t>
      </w:r>
      <w:r w:rsidR="00407C0E" w:rsidRPr="000B5123">
        <w:rPr>
          <w:rFonts w:ascii="Arial" w:hAnsi="Arial" w:cs="Arial"/>
          <w:sz w:val="24"/>
          <w:szCs w:val="24"/>
        </w:rPr>
        <w:t>en 2022</w:t>
      </w:r>
      <w:r w:rsidR="00664232" w:rsidRPr="000B5123">
        <w:rPr>
          <w:rFonts w:ascii="Arial" w:hAnsi="Arial" w:cs="Arial"/>
          <w:sz w:val="24"/>
          <w:szCs w:val="24"/>
        </w:rPr>
        <w:t>. L</w:t>
      </w:r>
      <w:r w:rsidR="002B063F" w:rsidRPr="000B5123">
        <w:rPr>
          <w:rFonts w:ascii="Arial" w:hAnsi="Arial" w:cs="Arial"/>
          <w:sz w:val="24"/>
          <w:szCs w:val="24"/>
        </w:rPr>
        <w:t>es</w:t>
      </w:r>
      <w:r w:rsidR="00691723" w:rsidRPr="000B5123">
        <w:rPr>
          <w:rFonts w:ascii="Arial" w:hAnsi="Arial" w:cs="Arial"/>
          <w:sz w:val="24"/>
          <w:szCs w:val="24"/>
        </w:rPr>
        <w:t xml:space="preserve"> dotation</w:t>
      </w:r>
      <w:r w:rsidR="002B063F" w:rsidRPr="000B5123">
        <w:rPr>
          <w:rFonts w:ascii="Arial" w:hAnsi="Arial" w:cs="Arial"/>
          <w:sz w:val="24"/>
          <w:szCs w:val="24"/>
        </w:rPr>
        <w:t>s</w:t>
      </w:r>
      <w:r w:rsidR="00691723" w:rsidRPr="000B5123">
        <w:rPr>
          <w:rFonts w:ascii="Arial" w:hAnsi="Arial" w:cs="Arial"/>
          <w:sz w:val="24"/>
          <w:szCs w:val="24"/>
        </w:rPr>
        <w:t xml:space="preserve"> aux amortissements et aux dépréciations </w:t>
      </w:r>
      <w:r w:rsidR="002B063F" w:rsidRPr="000B5123">
        <w:rPr>
          <w:rFonts w:ascii="Arial" w:hAnsi="Arial" w:cs="Arial"/>
          <w:sz w:val="24"/>
          <w:szCs w:val="24"/>
        </w:rPr>
        <w:t xml:space="preserve">s’élèvent </w:t>
      </w:r>
      <w:r w:rsidR="00691723" w:rsidRPr="000B5123">
        <w:rPr>
          <w:rFonts w:ascii="Arial" w:hAnsi="Arial" w:cs="Arial"/>
          <w:sz w:val="24"/>
          <w:szCs w:val="24"/>
        </w:rPr>
        <w:t xml:space="preserve">à </w:t>
      </w:r>
    </w:p>
    <w:p w14:paraId="029086E7" w14:textId="79BBC706" w:rsidR="00894117" w:rsidRPr="000B5123" w:rsidRDefault="007D6F81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2 630 K€ contre </w:t>
      </w:r>
      <w:r w:rsidR="00D4707D" w:rsidRPr="000B5123">
        <w:rPr>
          <w:rFonts w:ascii="Arial" w:hAnsi="Arial" w:cs="Arial"/>
          <w:sz w:val="24"/>
          <w:szCs w:val="24"/>
        </w:rPr>
        <w:t>2 459 K€</w:t>
      </w:r>
      <w:r w:rsidR="002B063F" w:rsidRPr="000B5123">
        <w:rPr>
          <w:rFonts w:ascii="Arial" w:hAnsi="Arial" w:cs="Arial"/>
          <w:sz w:val="24"/>
          <w:szCs w:val="24"/>
        </w:rPr>
        <w:t xml:space="preserve"> </w:t>
      </w:r>
      <w:r w:rsidR="00691723" w:rsidRPr="000B5123">
        <w:rPr>
          <w:rFonts w:ascii="Arial" w:hAnsi="Arial" w:cs="Arial"/>
          <w:sz w:val="24"/>
          <w:szCs w:val="24"/>
        </w:rPr>
        <w:t>en 20</w:t>
      </w:r>
      <w:r w:rsidR="002B063F" w:rsidRPr="000B5123">
        <w:rPr>
          <w:rFonts w:ascii="Arial" w:hAnsi="Arial" w:cs="Arial"/>
          <w:sz w:val="24"/>
          <w:szCs w:val="24"/>
        </w:rPr>
        <w:t>2</w:t>
      </w:r>
      <w:r w:rsidRPr="000B5123">
        <w:rPr>
          <w:rFonts w:ascii="Arial" w:hAnsi="Arial" w:cs="Arial"/>
          <w:sz w:val="24"/>
          <w:szCs w:val="24"/>
        </w:rPr>
        <w:t>2</w:t>
      </w:r>
      <w:r w:rsidR="00691723" w:rsidRPr="000B5123">
        <w:rPr>
          <w:rFonts w:ascii="Arial" w:hAnsi="Arial" w:cs="Arial"/>
          <w:sz w:val="24"/>
          <w:szCs w:val="24"/>
        </w:rPr>
        <w:t>.</w:t>
      </w:r>
    </w:p>
    <w:p w14:paraId="7D9401CA" w14:textId="77777777" w:rsidR="00C93DE5" w:rsidRPr="000B5123" w:rsidRDefault="00C93DE5" w:rsidP="00F26BCA">
      <w:pPr>
        <w:spacing w:after="0"/>
        <w:ind w:left="851"/>
        <w:rPr>
          <w:rFonts w:ascii="Arial" w:hAnsi="Arial" w:cs="Arial"/>
          <w:sz w:val="24"/>
          <w:szCs w:val="24"/>
        </w:rPr>
      </w:pPr>
    </w:p>
    <w:p w14:paraId="3215933A" w14:textId="2F5B6647" w:rsidR="00894117" w:rsidRPr="000B5123" w:rsidRDefault="00AC6BC7" w:rsidP="00F26BCA">
      <w:pPr>
        <w:spacing w:after="0"/>
        <w:ind w:left="851"/>
        <w:rPr>
          <w:rFonts w:ascii="Arial" w:hAnsi="Arial" w:cs="Arial"/>
          <w:b/>
          <w:sz w:val="24"/>
          <w:szCs w:val="24"/>
        </w:rPr>
      </w:pPr>
      <w:r w:rsidRPr="000B5123">
        <w:rPr>
          <w:rFonts w:ascii="Arial" w:hAnsi="Arial" w:cs="Arial"/>
          <w:b/>
          <w:sz w:val="24"/>
          <w:szCs w:val="24"/>
        </w:rPr>
        <w:t xml:space="preserve">Le </w:t>
      </w:r>
      <w:r w:rsidR="00894117" w:rsidRPr="000B5123">
        <w:rPr>
          <w:rFonts w:ascii="Arial" w:hAnsi="Arial" w:cs="Arial"/>
          <w:b/>
          <w:sz w:val="24"/>
          <w:szCs w:val="24"/>
        </w:rPr>
        <w:t xml:space="preserve">résultat d’exploitation </w:t>
      </w:r>
      <w:r w:rsidRPr="000B5123">
        <w:rPr>
          <w:rFonts w:ascii="Arial" w:hAnsi="Arial" w:cs="Arial"/>
          <w:b/>
          <w:sz w:val="24"/>
          <w:szCs w:val="24"/>
        </w:rPr>
        <w:t xml:space="preserve">présente un déficit </w:t>
      </w:r>
      <w:r w:rsidR="00D4707D" w:rsidRPr="000B5123">
        <w:rPr>
          <w:rFonts w:ascii="Arial" w:hAnsi="Arial" w:cs="Arial"/>
          <w:b/>
          <w:sz w:val="24"/>
          <w:szCs w:val="24"/>
        </w:rPr>
        <w:t xml:space="preserve">de </w:t>
      </w:r>
      <w:r w:rsidR="007D6F81" w:rsidRPr="000B5123">
        <w:rPr>
          <w:rFonts w:ascii="Arial" w:hAnsi="Arial" w:cs="Arial"/>
          <w:b/>
          <w:sz w:val="24"/>
          <w:szCs w:val="24"/>
        </w:rPr>
        <w:t>3 042 K€</w:t>
      </w:r>
      <w:r w:rsidR="002D0524" w:rsidRPr="000B5123">
        <w:rPr>
          <w:rFonts w:ascii="Arial" w:hAnsi="Arial" w:cs="Arial"/>
          <w:b/>
          <w:sz w:val="24"/>
          <w:szCs w:val="24"/>
        </w:rPr>
        <w:t xml:space="preserve"> contre un déficit de </w:t>
      </w:r>
      <w:r w:rsidR="001A791D">
        <w:rPr>
          <w:rFonts w:ascii="Arial" w:hAnsi="Arial" w:cs="Arial"/>
          <w:b/>
          <w:sz w:val="24"/>
          <w:szCs w:val="24"/>
        </w:rPr>
        <w:br/>
      </w:r>
      <w:r w:rsidR="00D4707D" w:rsidRPr="000B5123">
        <w:rPr>
          <w:rFonts w:ascii="Arial" w:hAnsi="Arial" w:cs="Arial"/>
          <w:b/>
          <w:sz w:val="24"/>
          <w:szCs w:val="24"/>
        </w:rPr>
        <w:t xml:space="preserve">2 634 K€ </w:t>
      </w:r>
      <w:r w:rsidR="00BF5BDA" w:rsidRPr="000B5123">
        <w:rPr>
          <w:rFonts w:ascii="Arial" w:hAnsi="Arial" w:cs="Arial"/>
          <w:b/>
          <w:sz w:val="24"/>
          <w:szCs w:val="24"/>
        </w:rPr>
        <w:t>en 20</w:t>
      </w:r>
      <w:r w:rsidR="002B063F" w:rsidRPr="000B5123">
        <w:rPr>
          <w:rFonts w:ascii="Arial" w:hAnsi="Arial" w:cs="Arial"/>
          <w:b/>
          <w:sz w:val="24"/>
          <w:szCs w:val="24"/>
        </w:rPr>
        <w:t>2</w:t>
      </w:r>
      <w:r w:rsidR="002D0524" w:rsidRPr="000B5123">
        <w:rPr>
          <w:rFonts w:ascii="Arial" w:hAnsi="Arial" w:cs="Arial"/>
          <w:b/>
          <w:sz w:val="24"/>
          <w:szCs w:val="24"/>
        </w:rPr>
        <w:t>2</w:t>
      </w:r>
      <w:r w:rsidR="00BF5BDA" w:rsidRPr="000B5123">
        <w:rPr>
          <w:rFonts w:ascii="Arial" w:hAnsi="Arial" w:cs="Arial"/>
          <w:b/>
          <w:sz w:val="24"/>
          <w:szCs w:val="24"/>
        </w:rPr>
        <w:t xml:space="preserve">. </w:t>
      </w:r>
    </w:p>
    <w:p w14:paraId="00BDF7C2" w14:textId="606F7BAC" w:rsidR="00894117" w:rsidRDefault="00894117" w:rsidP="00F26BCA">
      <w:pPr>
        <w:spacing w:after="0"/>
        <w:ind w:left="851"/>
        <w:rPr>
          <w:rFonts w:ascii="Arial" w:hAnsi="Arial" w:cs="Arial"/>
          <w:color w:val="FF0000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Par entité, ce résultat d’exploitation </w:t>
      </w:r>
      <w:r w:rsidR="00326252" w:rsidRPr="000B5123">
        <w:rPr>
          <w:rFonts w:ascii="Arial" w:hAnsi="Arial" w:cs="Arial"/>
          <w:sz w:val="24"/>
          <w:szCs w:val="24"/>
        </w:rPr>
        <w:t xml:space="preserve">provient </w:t>
      </w:r>
      <w:r w:rsidR="009C7BED" w:rsidRPr="000B5123">
        <w:rPr>
          <w:rFonts w:ascii="Arial" w:hAnsi="Arial" w:cs="Arial"/>
          <w:sz w:val="24"/>
          <w:szCs w:val="24"/>
        </w:rPr>
        <w:t xml:space="preserve">d’abord de l’ensemble Siège, Comités et Centre résidentiel </w:t>
      </w:r>
      <w:r w:rsidR="00326252" w:rsidRPr="000B5123">
        <w:rPr>
          <w:rFonts w:ascii="Arial" w:hAnsi="Arial" w:cs="Arial"/>
          <w:sz w:val="24"/>
          <w:szCs w:val="24"/>
        </w:rPr>
        <w:t>pour</w:t>
      </w:r>
      <w:r w:rsidR="0093521C" w:rsidRPr="000B5123">
        <w:rPr>
          <w:rFonts w:ascii="Arial" w:hAnsi="Arial" w:cs="Arial"/>
          <w:sz w:val="24"/>
          <w:szCs w:val="24"/>
        </w:rPr>
        <w:t xml:space="preserve"> </w:t>
      </w:r>
      <w:r w:rsidR="009C7BED" w:rsidRPr="000B5123">
        <w:rPr>
          <w:rFonts w:ascii="Arial" w:hAnsi="Arial" w:cs="Arial"/>
          <w:sz w:val="24"/>
          <w:szCs w:val="24"/>
        </w:rPr>
        <w:t>un montant négatif de -</w:t>
      </w:r>
      <w:r w:rsidR="006C1465">
        <w:rPr>
          <w:rFonts w:ascii="Arial" w:hAnsi="Arial" w:cs="Arial"/>
          <w:sz w:val="24"/>
          <w:szCs w:val="24"/>
        </w:rPr>
        <w:t xml:space="preserve"> </w:t>
      </w:r>
      <w:r w:rsidR="002D0524" w:rsidRPr="000B5123">
        <w:rPr>
          <w:rFonts w:ascii="Arial" w:hAnsi="Arial" w:cs="Arial"/>
          <w:sz w:val="24"/>
          <w:szCs w:val="24"/>
        </w:rPr>
        <w:t>2 267</w:t>
      </w:r>
      <w:r w:rsidR="00A1179F" w:rsidRPr="000B5123">
        <w:rPr>
          <w:rFonts w:ascii="Arial" w:hAnsi="Arial" w:cs="Arial"/>
          <w:sz w:val="24"/>
          <w:szCs w:val="24"/>
        </w:rPr>
        <w:t xml:space="preserve"> K€</w:t>
      </w:r>
      <w:r w:rsidR="009C7BED" w:rsidRPr="000B5123">
        <w:rPr>
          <w:rFonts w:ascii="Arial" w:hAnsi="Arial" w:cs="Arial"/>
          <w:sz w:val="24"/>
          <w:szCs w:val="24"/>
        </w:rPr>
        <w:t xml:space="preserve"> en 202</w:t>
      </w:r>
      <w:r w:rsidR="002D0524" w:rsidRPr="000B5123">
        <w:rPr>
          <w:rFonts w:ascii="Arial" w:hAnsi="Arial" w:cs="Arial"/>
          <w:sz w:val="24"/>
          <w:szCs w:val="24"/>
        </w:rPr>
        <w:t>3</w:t>
      </w:r>
      <w:r w:rsidR="00A1179F" w:rsidRPr="000B5123">
        <w:rPr>
          <w:rFonts w:ascii="Arial" w:hAnsi="Arial" w:cs="Arial"/>
          <w:sz w:val="24"/>
          <w:szCs w:val="24"/>
        </w:rPr>
        <w:t xml:space="preserve"> (contre </w:t>
      </w:r>
      <w:r w:rsidR="000B5123">
        <w:rPr>
          <w:rFonts w:ascii="Arial" w:hAnsi="Arial" w:cs="Arial"/>
          <w:sz w:val="24"/>
          <w:szCs w:val="24"/>
        </w:rPr>
        <w:t xml:space="preserve">- </w:t>
      </w:r>
      <w:r w:rsidR="002D0524" w:rsidRPr="000B5123">
        <w:rPr>
          <w:rFonts w:ascii="Arial" w:hAnsi="Arial" w:cs="Arial"/>
          <w:sz w:val="24"/>
          <w:szCs w:val="24"/>
        </w:rPr>
        <w:t>1 616</w:t>
      </w:r>
      <w:r w:rsidR="00431E31" w:rsidRPr="000B5123">
        <w:rPr>
          <w:rFonts w:ascii="Arial" w:hAnsi="Arial" w:cs="Arial"/>
          <w:sz w:val="24"/>
          <w:szCs w:val="24"/>
        </w:rPr>
        <w:t xml:space="preserve"> K€ </w:t>
      </w:r>
      <w:r w:rsidRPr="000B5123">
        <w:rPr>
          <w:rFonts w:ascii="Arial" w:hAnsi="Arial" w:cs="Arial"/>
          <w:sz w:val="24"/>
          <w:szCs w:val="24"/>
        </w:rPr>
        <w:t>en 20</w:t>
      </w:r>
      <w:r w:rsidR="00431E31" w:rsidRPr="000B5123">
        <w:rPr>
          <w:rFonts w:ascii="Arial" w:hAnsi="Arial" w:cs="Arial"/>
          <w:sz w:val="24"/>
          <w:szCs w:val="24"/>
        </w:rPr>
        <w:t>2</w:t>
      </w:r>
      <w:r w:rsidR="002D0524" w:rsidRPr="000B5123">
        <w:rPr>
          <w:rFonts w:ascii="Arial" w:hAnsi="Arial" w:cs="Arial"/>
          <w:sz w:val="24"/>
          <w:szCs w:val="24"/>
        </w:rPr>
        <w:t>2</w:t>
      </w:r>
      <w:r w:rsidRPr="000B5123">
        <w:rPr>
          <w:rFonts w:ascii="Arial" w:hAnsi="Arial" w:cs="Arial"/>
          <w:sz w:val="24"/>
          <w:szCs w:val="24"/>
        </w:rPr>
        <w:t>)</w:t>
      </w:r>
      <w:r w:rsidR="00326252" w:rsidRPr="000B5123">
        <w:rPr>
          <w:rFonts w:ascii="Arial" w:hAnsi="Arial" w:cs="Arial"/>
          <w:sz w:val="24"/>
          <w:szCs w:val="24"/>
        </w:rPr>
        <w:t xml:space="preserve">. </w:t>
      </w:r>
      <w:r w:rsidR="009C7BED" w:rsidRPr="000B5123">
        <w:rPr>
          <w:rFonts w:ascii="Arial" w:hAnsi="Arial" w:cs="Arial"/>
          <w:sz w:val="24"/>
          <w:szCs w:val="24"/>
        </w:rPr>
        <w:t xml:space="preserve">Ensuite s’ajoutent les résultats des établissements en gestion libre, positif pour OW (Production) : + </w:t>
      </w:r>
      <w:r w:rsidR="002D0524" w:rsidRPr="000B5123">
        <w:rPr>
          <w:rFonts w:ascii="Arial" w:hAnsi="Arial" w:cs="Arial"/>
          <w:sz w:val="24"/>
          <w:szCs w:val="24"/>
        </w:rPr>
        <w:t>13</w:t>
      </w:r>
      <w:r w:rsidR="009C7BED" w:rsidRPr="000B5123">
        <w:rPr>
          <w:rFonts w:ascii="Arial" w:hAnsi="Arial" w:cs="Arial"/>
          <w:sz w:val="24"/>
          <w:szCs w:val="24"/>
        </w:rPr>
        <w:t xml:space="preserve"> K€, négatifs pour </w:t>
      </w:r>
      <w:r w:rsidR="000C5D9B" w:rsidRPr="000B5123">
        <w:rPr>
          <w:rFonts w:ascii="Arial" w:hAnsi="Arial" w:cs="Arial"/>
          <w:sz w:val="24"/>
          <w:szCs w:val="24"/>
        </w:rPr>
        <w:t xml:space="preserve">EA La Villette : - </w:t>
      </w:r>
      <w:r w:rsidR="002D0524" w:rsidRPr="000B5123">
        <w:rPr>
          <w:rFonts w:ascii="Arial" w:hAnsi="Arial" w:cs="Arial"/>
          <w:sz w:val="24"/>
          <w:szCs w:val="24"/>
        </w:rPr>
        <w:t>280</w:t>
      </w:r>
      <w:r w:rsidR="000C5D9B" w:rsidRPr="000B5123">
        <w:rPr>
          <w:rFonts w:ascii="Arial" w:hAnsi="Arial" w:cs="Arial"/>
          <w:sz w:val="24"/>
          <w:szCs w:val="24"/>
        </w:rPr>
        <w:t xml:space="preserve"> K€, CDTD Nantes : - 8</w:t>
      </w:r>
      <w:r w:rsidR="002D0524" w:rsidRPr="000B5123">
        <w:rPr>
          <w:rFonts w:ascii="Arial" w:hAnsi="Arial" w:cs="Arial"/>
          <w:sz w:val="24"/>
          <w:szCs w:val="24"/>
        </w:rPr>
        <w:t>6</w:t>
      </w:r>
      <w:r w:rsidR="000C5D9B" w:rsidRPr="000B5123">
        <w:rPr>
          <w:rFonts w:ascii="Arial" w:hAnsi="Arial" w:cs="Arial"/>
          <w:sz w:val="24"/>
          <w:szCs w:val="24"/>
        </w:rPr>
        <w:t xml:space="preserve"> K</w:t>
      </w:r>
      <w:r w:rsidR="002D0524" w:rsidRPr="000B5123">
        <w:rPr>
          <w:rFonts w:ascii="Arial" w:hAnsi="Arial" w:cs="Arial"/>
          <w:sz w:val="24"/>
          <w:szCs w:val="24"/>
        </w:rPr>
        <w:t>€,</w:t>
      </w:r>
      <w:r w:rsidR="009C7BED" w:rsidRPr="000B5123">
        <w:rPr>
          <w:rFonts w:ascii="Arial" w:hAnsi="Arial" w:cs="Arial"/>
          <w:sz w:val="24"/>
          <w:szCs w:val="24"/>
        </w:rPr>
        <w:t xml:space="preserve"> </w:t>
      </w:r>
      <w:r w:rsidR="0093521C" w:rsidRPr="000B5123">
        <w:rPr>
          <w:rFonts w:ascii="Arial" w:hAnsi="Arial" w:cs="Arial"/>
          <w:sz w:val="24"/>
          <w:szCs w:val="24"/>
        </w:rPr>
        <w:t>malgré l’affectation des dons IFI</w:t>
      </w:r>
      <w:r w:rsidR="001D7164" w:rsidRPr="000B5123">
        <w:rPr>
          <w:rFonts w:ascii="Arial" w:hAnsi="Arial" w:cs="Arial"/>
          <w:sz w:val="24"/>
          <w:szCs w:val="24"/>
        </w:rPr>
        <w:t>,</w:t>
      </w:r>
      <w:r w:rsidR="00CD43E0" w:rsidRPr="000B5123">
        <w:rPr>
          <w:rFonts w:ascii="Arial" w:hAnsi="Arial" w:cs="Arial"/>
          <w:sz w:val="24"/>
          <w:szCs w:val="24"/>
        </w:rPr>
        <w:t xml:space="preserve"> </w:t>
      </w:r>
      <w:r w:rsidR="000C5D9B" w:rsidRPr="000B5123">
        <w:rPr>
          <w:rFonts w:ascii="Arial" w:hAnsi="Arial" w:cs="Arial"/>
          <w:sz w:val="24"/>
          <w:szCs w:val="24"/>
        </w:rPr>
        <w:t xml:space="preserve">et aussi </w:t>
      </w:r>
      <w:proofErr w:type="spellStart"/>
      <w:r w:rsidR="0093521C" w:rsidRPr="000B5123">
        <w:rPr>
          <w:rFonts w:ascii="Arial" w:hAnsi="Arial" w:cs="Arial"/>
          <w:sz w:val="24"/>
          <w:szCs w:val="24"/>
        </w:rPr>
        <w:t>Escolore</w:t>
      </w:r>
      <w:proofErr w:type="spellEnd"/>
      <w:r w:rsidR="0093521C" w:rsidRPr="000B5123">
        <w:rPr>
          <w:rFonts w:ascii="Arial" w:hAnsi="Arial" w:cs="Arial"/>
          <w:sz w:val="24"/>
          <w:szCs w:val="24"/>
        </w:rPr>
        <w:t xml:space="preserve"> (Production) : </w:t>
      </w:r>
      <w:r w:rsidR="00A739BA" w:rsidRPr="000B5123">
        <w:rPr>
          <w:rFonts w:ascii="Arial" w:hAnsi="Arial" w:cs="Arial"/>
          <w:sz w:val="24"/>
          <w:szCs w:val="24"/>
        </w:rPr>
        <w:t xml:space="preserve">- </w:t>
      </w:r>
      <w:r w:rsidR="002D0524" w:rsidRPr="000B5123">
        <w:rPr>
          <w:rFonts w:ascii="Arial" w:hAnsi="Arial" w:cs="Arial"/>
          <w:sz w:val="24"/>
          <w:szCs w:val="24"/>
        </w:rPr>
        <w:t xml:space="preserve">81 </w:t>
      </w:r>
      <w:r w:rsidR="00A739BA" w:rsidRPr="000B5123">
        <w:rPr>
          <w:rFonts w:ascii="Arial" w:hAnsi="Arial" w:cs="Arial"/>
          <w:sz w:val="24"/>
          <w:szCs w:val="24"/>
        </w:rPr>
        <w:t>K€</w:t>
      </w:r>
      <w:r w:rsidR="0093521C" w:rsidRPr="000B5123">
        <w:rPr>
          <w:rFonts w:ascii="Arial" w:hAnsi="Arial" w:cs="Arial"/>
          <w:sz w:val="24"/>
          <w:szCs w:val="24"/>
        </w:rPr>
        <w:t xml:space="preserve">. </w:t>
      </w:r>
      <w:r w:rsidRPr="000B5123">
        <w:rPr>
          <w:rFonts w:ascii="Arial" w:hAnsi="Arial" w:cs="Arial"/>
          <w:sz w:val="24"/>
          <w:szCs w:val="24"/>
        </w:rPr>
        <w:t xml:space="preserve"> </w:t>
      </w:r>
      <w:r w:rsidR="00226DFD" w:rsidRPr="000B5123">
        <w:rPr>
          <w:rFonts w:ascii="Arial" w:hAnsi="Arial" w:cs="Arial"/>
          <w:sz w:val="24"/>
          <w:szCs w:val="24"/>
        </w:rPr>
        <w:t xml:space="preserve">Les </w:t>
      </w:r>
      <w:r w:rsidR="005E1F50" w:rsidRPr="000B5123">
        <w:rPr>
          <w:rFonts w:ascii="Arial" w:hAnsi="Arial" w:cs="Arial"/>
          <w:sz w:val="24"/>
          <w:szCs w:val="24"/>
        </w:rPr>
        <w:t xml:space="preserve">établissements médico-sociaux </w:t>
      </w:r>
      <w:r w:rsidR="00CD43E0" w:rsidRPr="000B5123">
        <w:rPr>
          <w:rFonts w:ascii="Arial" w:hAnsi="Arial" w:cs="Arial"/>
          <w:sz w:val="24"/>
          <w:szCs w:val="24"/>
        </w:rPr>
        <w:t xml:space="preserve">qui </w:t>
      </w:r>
      <w:r w:rsidR="00226DFD" w:rsidRPr="000B5123">
        <w:rPr>
          <w:rFonts w:ascii="Arial" w:hAnsi="Arial" w:cs="Arial"/>
          <w:sz w:val="24"/>
          <w:szCs w:val="24"/>
        </w:rPr>
        <w:t xml:space="preserve">sont suivis par les autorités de tarification </w:t>
      </w:r>
      <w:r w:rsidR="0093521C" w:rsidRPr="000B5123">
        <w:rPr>
          <w:rFonts w:ascii="Arial" w:hAnsi="Arial" w:cs="Arial"/>
          <w:sz w:val="24"/>
          <w:szCs w:val="24"/>
        </w:rPr>
        <w:t xml:space="preserve">présentent en </w:t>
      </w:r>
      <w:r w:rsidR="000C5D9B" w:rsidRPr="000B5123">
        <w:rPr>
          <w:rFonts w:ascii="Arial" w:hAnsi="Arial" w:cs="Arial"/>
          <w:sz w:val="24"/>
          <w:szCs w:val="24"/>
        </w:rPr>
        <w:t>202</w:t>
      </w:r>
      <w:r w:rsidR="002D0524" w:rsidRPr="000B5123">
        <w:rPr>
          <w:rFonts w:ascii="Arial" w:hAnsi="Arial" w:cs="Arial"/>
          <w:sz w:val="24"/>
          <w:szCs w:val="24"/>
        </w:rPr>
        <w:t>3</w:t>
      </w:r>
      <w:r w:rsidR="000C5D9B" w:rsidRPr="000B5123">
        <w:rPr>
          <w:rFonts w:ascii="Arial" w:hAnsi="Arial" w:cs="Arial"/>
          <w:sz w:val="24"/>
          <w:szCs w:val="24"/>
        </w:rPr>
        <w:t xml:space="preserve"> un</w:t>
      </w:r>
      <w:r w:rsidR="0093521C" w:rsidRPr="000B5123">
        <w:rPr>
          <w:rFonts w:ascii="Arial" w:hAnsi="Arial" w:cs="Arial"/>
          <w:sz w:val="24"/>
          <w:szCs w:val="24"/>
        </w:rPr>
        <w:t xml:space="preserve"> </w:t>
      </w:r>
      <w:r w:rsidR="00030063" w:rsidRPr="000B5123">
        <w:rPr>
          <w:rFonts w:ascii="Arial" w:hAnsi="Arial" w:cs="Arial"/>
          <w:sz w:val="24"/>
          <w:szCs w:val="24"/>
        </w:rPr>
        <w:t>résultat global</w:t>
      </w:r>
      <w:r w:rsidR="009C7BED" w:rsidRPr="000B5123">
        <w:rPr>
          <w:rFonts w:ascii="Arial" w:hAnsi="Arial" w:cs="Arial"/>
          <w:sz w:val="24"/>
          <w:szCs w:val="24"/>
        </w:rPr>
        <w:t xml:space="preserve"> négatif : </w:t>
      </w:r>
      <w:r w:rsidR="00E55E86" w:rsidRPr="000B5123">
        <w:rPr>
          <w:rFonts w:ascii="Arial" w:hAnsi="Arial" w:cs="Arial"/>
          <w:sz w:val="24"/>
          <w:szCs w:val="24"/>
        </w:rPr>
        <w:t>-</w:t>
      </w:r>
      <w:r w:rsidR="000B5123">
        <w:rPr>
          <w:rFonts w:ascii="Arial" w:hAnsi="Arial" w:cs="Arial"/>
          <w:sz w:val="24"/>
          <w:szCs w:val="24"/>
        </w:rPr>
        <w:t xml:space="preserve"> </w:t>
      </w:r>
      <w:r w:rsidR="00E55E86" w:rsidRPr="000B5123">
        <w:rPr>
          <w:rFonts w:ascii="Arial" w:hAnsi="Arial" w:cs="Arial"/>
          <w:sz w:val="24"/>
          <w:szCs w:val="24"/>
        </w:rPr>
        <w:t xml:space="preserve">97 K€ contre </w:t>
      </w:r>
      <w:r w:rsidR="009C7BED" w:rsidRPr="000B5123">
        <w:rPr>
          <w:rFonts w:ascii="Arial" w:hAnsi="Arial" w:cs="Arial"/>
          <w:sz w:val="24"/>
          <w:szCs w:val="24"/>
        </w:rPr>
        <w:t xml:space="preserve">- </w:t>
      </w:r>
      <w:r w:rsidR="00E55E86" w:rsidRPr="000B5123">
        <w:rPr>
          <w:rFonts w:ascii="Arial" w:hAnsi="Arial" w:cs="Arial"/>
          <w:sz w:val="24"/>
          <w:szCs w:val="24"/>
        </w:rPr>
        <w:t>354</w:t>
      </w:r>
      <w:r w:rsidR="009C7BED" w:rsidRPr="000B5123">
        <w:rPr>
          <w:rFonts w:ascii="Arial" w:hAnsi="Arial" w:cs="Arial"/>
          <w:sz w:val="24"/>
          <w:szCs w:val="24"/>
        </w:rPr>
        <w:t xml:space="preserve"> K€</w:t>
      </w:r>
      <w:r w:rsidR="00D564A0" w:rsidRPr="000B5123">
        <w:rPr>
          <w:rFonts w:ascii="Arial" w:hAnsi="Arial" w:cs="Arial"/>
          <w:sz w:val="24"/>
          <w:szCs w:val="24"/>
        </w:rPr>
        <w:t xml:space="preserve"> </w:t>
      </w:r>
      <w:r w:rsidR="00030063" w:rsidRPr="000B5123">
        <w:rPr>
          <w:rFonts w:ascii="Arial" w:hAnsi="Arial" w:cs="Arial"/>
          <w:sz w:val="24"/>
          <w:szCs w:val="24"/>
        </w:rPr>
        <w:t>en 20</w:t>
      </w:r>
      <w:r w:rsidR="00D564A0" w:rsidRPr="000B5123">
        <w:rPr>
          <w:rFonts w:ascii="Arial" w:hAnsi="Arial" w:cs="Arial"/>
          <w:sz w:val="24"/>
          <w:szCs w:val="24"/>
        </w:rPr>
        <w:t>2</w:t>
      </w:r>
      <w:r w:rsidR="00732295" w:rsidRPr="000B5123">
        <w:rPr>
          <w:rFonts w:ascii="Arial" w:hAnsi="Arial" w:cs="Arial"/>
          <w:sz w:val="24"/>
          <w:szCs w:val="24"/>
        </w:rPr>
        <w:t>2</w:t>
      </w:r>
      <w:r w:rsidR="00D564A0" w:rsidRPr="000B5123">
        <w:rPr>
          <w:rFonts w:ascii="Arial" w:hAnsi="Arial" w:cs="Arial"/>
          <w:sz w:val="24"/>
          <w:szCs w:val="24"/>
        </w:rPr>
        <w:t>. En 202</w:t>
      </w:r>
      <w:r w:rsidR="00E55E86" w:rsidRPr="000B5123">
        <w:rPr>
          <w:rFonts w:ascii="Arial" w:hAnsi="Arial" w:cs="Arial"/>
          <w:sz w:val="24"/>
          <w:szCs w:val="24"/>
        </w:rPr>
        <w:t>3</w:t>
      </w:r>
      <w:r w:rsidR="00D564A0" w:rsidRPr="000B5123">
        <w:rPr>
          <w:rFonts w:ascii="Arial" w:hAnsi="Arial" w:cs="Arial"/>
          <w:sz w:val="24"/>
          <w:szCs w:val="24"/>
        </w:rPr>
        <w:t>, l</w:t>
      </w:r>
      <w:r w:rsidR="000C5D9B" w:rsidRPr="000B5123">
        <w:rPr>
          <w:rFonts w:ascii="Arial" w:hAnsi="Arial" w:cs="Arial"/>
          <w:sz w:val="24"/>
          <w:szCs w:val="24"/>
        </w:rPr>
        <w:t xml:space="preserve">a comptabilisation </w:t>
      </w:r>
      <w:r w:rsidR="00D564A0" w:rsidRPr="000B5123">
        <w:rPr>
          <w:rFonts w:ascii="Arial" w:hAnsi="Arial" w:cs="Arial"/>
          <w:sz w:val="24"/>
          <w:szCs w:val="24"/>
        </w:rPr>
        <w:t xml:space="preserve">de frais de siège génère un transfert de ressources de </w:t>
      </w:r>
      <w:r w:rsidR="00DC72A1" w:rsidRPr="000B5123">
        <w:rPr>
          <w:rFonts w:ascii="Arial" w:hAnsi="Arial" w:cs="Arial"/>
          <w:sz w:val="24"/>
          <w:szCs w:val="24"/>
        </w:rPr>
        <w:t>2</w:t>
      </w:r>
      <w:r w:rsidR="000C5D9B" w:rsidRPr="000B5123">
        <w:rPr>
          <w:rFonts w:ascii="Arial" w:hAnsi="Arial" w:cs="Arial"/>
          <w:sz w:val="24"/>
          <w:szCs w:val="24"/>
        </w:rPr>
        <w:t>6</w:t>
      </w:r>
      <w:r w:rsidR="00E55E86" w:rsidRPr="000B5123">
        <w:rPr>
          <w:rFonts w:ascii="Arial" w:hAnsi="Arial" w:cs="Arial"/>
          <w:sz w:val="24"/>
          <w:szCs w:val="24"/>
        </w:rPr>
        <w:t>9</w:t>
      </w:r>
      <w:r w:rsidR="00D564A0" w:rsidRPr="000B5123">
        <w:rPr>
          <w:rFonts w:ascii="Arial" w:hAnsi="Arial" w:cs="Arial"/>
          <w:sz w:val="24"/>
          <w:szCs w:val="24"/>
        </w:rPr>
        <w:t xml:space="preserve"> K€ de l’ensemble de ces 9 entités</w:t>
      </w:r>
      <w:r w:rsidR="00DC72A1" w:rsidRPr="000B5123">
        <w:rPr>
          <w:rFonts w:ascii="Arial" w:hAnsi="Arial" w:cs="Arial"/>
          <w:sz w:val="24"/>
          <w:szCs w:val="24"/>
        </w:rPr>
        <w:t xml:space="preserve"> vers l’entité Siège-Comités-Centre résidentiel</w:t>
      </w:r>
      <w:r w:rsidR="00D564A0" w:rsidRPr="000B5123">
        <w:rPr>
          <w:rFonts w:ascii="Arial" w:hAnsi="Arial" w:cs="Arial"/>
          <w:sz w:val="24"/>
          <w:szCs w:val="24"/>
        </w:rPr>
        <w:t xml:space="preserve">. </w:t>
      </w:r>
    </w:p>
    <w:p w14:paraId="12D67F3B" w14:textId="77777777" w:rsidR="005902AA" w:rsidRPr="000B5123" w:rsidRDefault="005902AA" w:rsidP="00F26BCA">
      <w:pPr>
        <w:spacing w:after="0"/>
        <w:ind w:left="851"/>
        <w:rPr>
          <w:rFonts w:ascii="Arial" w:hAnsi="Arial" w:cs="Arial"/>
          <w:sz w:val="24"/>
          <w:szCs w:val="24"/>
        </w:rPr>
      </w:pPr>
    </w:p>
    <w:p w14:paraId="49DBC54A" w14:textId="09337BAE" w:rsidR="00894117" w:rsidRPr="000B5123" w:rsidRDefault="00894117" w:rsidP="00F26BCA">
      <w:pPr>
        <w:tabs>
          <w:tab w:val="left" w:pos="8115"/>
        </w:tabs>
        <w:spacing w:after="0"/>
        <w:ind w:left="851"/>
        <w:rPr>
          <w:rFonts w:ascii="Arial" w:hAnsi="Arial" w:cs="Arial"/>
          <w:b/>
          <w:sz w:val="24"/>
          <w:szCs w:val="24"/>
        </w:rPr>
      </w:pPr>
      <w:r w:rsidRPr="000B5123">
        <w:rPr>
          <w:rFonts w:ascii="Arial" w:hAnsi="Arial" w:cs="Arial"/>
          <w:b/>
          <w:sz w:val="24"/>
          <w:szCs w:val="24"/>
        </w:rPr>
        <w:t xml:space="preserve">Le </w:t>
      </w:r>
      <w:r w:rsidR="000916C5" w:rsidRPr="000B5123">
        <w:rPr>
          <w:rFonts w:ascii="Arial" w:hAnsi="Arial" w:cs="Arial"/>
          <w:b/>
          <w:sz w:val="24"/>
          <w:szCs w:val="24"/>
        </w:rPr>
        <w:t>résultat financier</w:t>
      </w:r>
      <w:r w:rsidRPr="000B5123">
        <w:rPr>
          <w:rFonts w:ascii="Arial" w:hAnsi="Arial" w:cs="Arial"/>
          <w:b/>
          <w:sz w:val="24"/>
          <w:szCs w:val="24"/>
        </w:rPr>
        <w:t xml:space="preserve"> </w:t>
      </w:r>
      <w:r w:rsidR="00DC72A1" w:rsidRPr="000B5123">
        <w:rPr>
          <w:rFonts w:ascii="Arial" w:hAnsi="Arial" w:cs="Arial"/>
          <w:b/>
          <w:sz w:val="24"/>
          <w:szCs w:val="24"/>
        </w:rPr>
        <w:t xml:space="preserve">présente un </w:t>
      </w:r>
      <w:r w:rsidR="00E55E86" w:rsidRPr="000B5123">
        <w:rPr>
          <w:rFonts w:ascii="Arial" w:hAnsi="Arial" w:cs="Arial"/>
          <w:b/>
          <w:sz w:val="24"/>
          <w:szCs w:val="24"/>
        </w:rPr>
        <w:t xml:space="preserve">excédent de 882 K€ contre un </w:t>
      </w:r>
      <w:r w:rsidR="000C5D9B" w:rsidRPr="000B5123">
        <w:rPr>
          <w:rFonts w:ascii="Arial" w:hAnsi="Arial" w:cs="Arial"/>
          <w:b/>
          <w:sz w:val="24"/>
          <w:szCs w:val="24"/>
        </w:rPr>
        <w:t xml:space="preserve">déficit de 979 K€ </w:t>
      </w:r>
      <w:r w:rsidR="00E55E86" w:rsidRPr="000B5123">
        <w:rPr>
          <w:rFonts w:ascii="Arial" w:hAnsi="Arial" w:cs="Arial"/>
          <w:b/>
          <w:sz w:val="24"/>
          <w:szCs w:val="24"/>
        </w:rPr>
        <w:t>en 2022.</w:t>
      </w:r>
      <w:r w:rsidRPr="000B5123">
        <w:rPr>
          <w:rFonts w:ascii="Arial" w:hAnsi="Arial" w:cs="Arial"/>
          <w:b/>
          <w:sz w:val="24"/>
          <w:szCs w:val="24"/>
        </w:rPr>
        <w:t xml:space="preserve"> </w:t>
      </w:r>
    </w:p>
    <w:p w14:paraId="44C14495" w14:textId="2FE85312" w:rsidR="00326E20" w:rsidRPr="000B5123" w:rsidRDefault="00E55E86" w:rsidP="00F26BCA">
      <w:pPr>
        <w:tabs>
          <w:tab w:val="left" w:pos="8115"/>
        </w:tabs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Le redressement des marchés anticipant l’arrêt du mouvement de hausse des taux des banques centrales provoque </w:t>
      </w:r>
      <w:r w:rsidR="00AA7576" w:rsidRPr="000B5123">
        <w:rPr>
          <w:rFonts w:ascii="Arial" w:hAnsi="Arial" w:cs="Arial"/>
          <w:sz w:val="24"/>
          <w:szCs w:val="24"/>
        </w:rPr>
        <w:t xml:space="preserve">une amélioration importante de la valorisation des actions et des obligations, atténuée toutefois à partir d’octobre 2023 par des baisses de la valeur de rachat des parts de certaines SCPI. </w:t>
      </w:r>
      <w:r w:rsidR="001E6847" w:rsidRPr="000B5123">
        <w:rPr>
          <w:rFonts w:ascii="Arial" w:hAnsi="Arial" w:cs="Arial"/>
          <w:sz w:val="24"/>
          <w:szCs w:val="24"/>
        </w:rPr>
        <w:t>Une reprise sur dépréciations financières de 548 K€ succède à la</w:t>
      </w:r>
      <w:r w:rsidR="00ED3EE5" w:rsidRPr="000B5123">
        <w:rPr>
          <w:rFonts w:ascii="Arial" w:hAnsi="Arial" w:cs="Arial"/>
          <w:sz w:val="24"/>
          <w:szCs w:val="24"/>
        </w:rPr>
        <w:t xml:space="preserve"> </w:t>
      </w:r>
      <w:r w:rsidR="000C5D9B" w:rsidRPr="000B5123">
        <w:rPr>
          <w:rFonts w:ascii="Arial" w:hAnsi="Arial" w:cs="Arial"/>
          <w:sz w:val="24"/>
          <w:szCs w:val="24"/>
        </w:rPr>
        <w:t xml:space="preserve">dotation aux dépréciations financières de 1 211 K€ enregistrée </w:t>
      </w:r>
      <w:r w:rsidR="00DF7EBC" w:rsidRPr="000B5123">
        <w:rPr>
          <w:rFonts w:ascii="Arial" w:hAnsi="Arial" w:cs="Arial"/>
          <w:sz w:val="24"/>
          <w:szCs w:val="24"/>
        </w:rPr>
        <w:t xml:space="preserve">en </w:t>
      </w:r>
      <w:r w:rsidR="001E6847" w:rsidRPr="000B5123">
        <w:rPr>
          <w:rFonts w:ascii="Arial" w:hAnsi="Arial" w:cs="Arial"/>
          <w:sz w:val="24"/>
          <w:szCs w:val="24"/>
        </w:rPr>
        <w:t>2022.</w:t>
      </w:r>
      <w:r w:rsidR="00DF7EBC" w:rsidRPr="000B5123">
        <w:rPr>
          <w:rFonts w:ascii="Arial" w:hAnsi="Arial" w:cs="Arial"/>
          <w:sz w:val="24"/>
          <w:szCs w:val="24"/>
        </w:rPr>
        <w:t xml:space="preserve"> </w:t>
      </w:r>
      <w:r w:rsidR="002F1CD7" w:rsidRPr="000B5123">
        <w:rPr>
          <w:rFonts w:ascii="Arial" w:hAnsi="Arial" w:cs="Arial"/>
          <w:sz w:val="24"/>
          <w:szCs w:val="24"/>
        </w:rPr>
        <w:t>L</w:t>
      </w:r>
      <w:r w:rsidR="001E6847" w:rsidRPr="000B5123">
        <w:rPr>
          <w:rFonts w:ascii="Arial" w:hAnsi="Arial" w:cs="Arial"/>
          <w:sz w:val="24"/>
          <w:szCs w:val="24"/>
        </w:rPr>
        <w:t xml:space="preserve">es </w:t>
      </w:r>
      <w:r w:rsidR="002F1CD7" w:rsidRPr="000B5123">
        <w:rPr>
          <w:rFonts w:ascii="Arial" w:hAnsi="Arial" w:cs="Arial"/>
          <w:sz w:val="24"/>
          <w:szCs w:val="24"/>
        </w:rPr>
        <w:t xml:space="preserve">parts de SCPI </w:t>
      </w:r>
      <w:r w:rsidR="00ED3EE5" w:rsidRPr="000B5123">
        <w:rPr>
          <w:rFonts w:ascii="Arial" w:hAnsi="Arial" w:cs="Arial"/>
          <w:sz w:val="24"/>
          <w:szCs w:val="24"/>
        </w:rPr>
        <w:t>génèrent des produits de</w:t>
      </w:r>
      <w:r w:rsidR="001E6847" w:rsidRPr="000B5123">
        <w:rPr>
          <w:rFonts w:ascii="Arial" w:hAnsi="Arial" w:cs="Arial"/>
          <w:sz w:val="24"/>
          <w:szCs w:val="24"/>
        </w:rPr>
        <w:t xml:space="preserve"> 227 K€ en 2023 contre </w:t>
      </w:r>
      <w:r w:rsidR="00DF7EBC" w:rsidRPr="000B5123">
        <w:rPr>
          <w:rFonts w:ascii="Arial" w:hAnsi="Arial" w:cs="Arial"/>
          <w:sz w:val="24"/>
          <w:szCs w:val="24"/>
        </w:rPr>
        <w:t xml:space="preserve">240 K€ </w:t>
      </w:r>
      <w:r w:rsidR="001E6847" w:rsidRPr="000B5123">
        <w:rPr>
          <w:rFonts w:ascii="Arial" w:hAnsi="Arial" w:cs="Arial"/>
          <w:sz w:val="24"/>
          <w:szCs w:val="24"/>
        </w:rPr>
        <w:t>en 2022</w:t>
      </w:r>
      <w:r w:rsidR="00DF7EBC" w:rsidRPr="000B5123">
        <w:rPr>
          <w:rFonts w:ascii="Arial" w:hAnsi="Arial" w:cs="Arial"/>
          <w:sz w:val="24"/>
          <w:szCs w:val="24"/>
        </w:rPr>
        <w:t>.</w:t>
      </w:r>
      <w:r w:rsidR="00F226EA" w:rsidRPr="000B5123">
        <w:rPr>
          <w:rFonts w:ascii="Arial" w:hAnsi="Arial" w:cs="Arial"/>
          <w:sz w:val="24"/>
          <w:szCs w:val="24"/>
        </w:rPr>
        <w:t xml:space="preserve"> Les charges d’intérêts </w:t>
      </w:r>
      <w:r w:rsidR="00B35FA7" w:rsidRPr="000B5123">
        <w:rPr>
          <w:rFonts w:ascii="Arial" w:hAnsi="Arial" w:cs="Arial"/>
          <w:sz w:val="24"/>
          <w:szCs w:val="24"/>
        </w:rPr>
        <w:t xml:space="preserve">baissent encore à 117 K€ contre </w:t>
      </w:r>
      <w:r w:rsidR="00DF7EBC" w:rsidRPr="000B5123">
        <w:rPr>
          <w:rFonts w:ascii="Arial" w:hAnsi="Arial" w:cs="Arial"/>
          <w:sz w:val="24"/>
          <w:szCs w:val="24"/>
        </w:rPr>
        <w:t xml:space="preserve">127 K€ en 2022, </w:t>
      </w:r>
      <w:r w:rsidR="00B35FA7" w:rsidRPr="000B5123">
        <w:rPr>
          <w:rFonts w:ascii="Arial" w:hAnsi="Arial" w:cs="Arial"/>
          <w:sz w:val="24"/>
          <w:szCs w:val="24"/>
        </w:rPr>
        <w:t>le remboursement des emprunts étant particulièrement important en 2023, l’emprunt nouveau versé à hauteur de 950 K€ en décembre 2023 n’ayant pas encore généré d’intérêts significatifs. Les placements à court terme</w:t>
      </w:r>
      <w:r w:rsidR="00A64AED" w:rsidRPr="000B5123">
        <w:rPr>
          <w:rFonts w:ascii="Arial" w:hAnsi="Arial" w:cs="Arial"/>
          <w:sz w:val="24"/>
          <w:szCs w:val="24"/>
        </w:rPr>
        <w:t>,</w:t>
      </w:r>
      <w:r w:rsidR="00B35FA7" w:rsidRPr="000B5123">
        <w:rPr>
          <w:rFonts w:ascii="Arial" w:hAnsi="Arial" w:cs="Arial"/>
          <w:sz w:val="24"/>
          <w:szCs w:val="24"/>
        </w:rPr>
        <w:t xml:space="preserve"> devenus attractifs</w:t>
      </w:r>
      <w:r w:rsidR="00A64AED" w:rsidRPr="000B5123">
        <w:rPr>
          <w:rFonts w:ascii="Arial" w:hAnsi="Arial" w:cs="Arial"/>
          <w:sz w:val="24"/>
          <w:szCs w:val="24"/>
        </w:rPr>
        <w:t>,</w:t>
      </w:r>
      <w:r w:rsidR="00B35FA7" w:rsidRPr="000B5123">
        <w:rPr>
          <w:rFonts w:ascii="Arial" w:hAnsi="Arial" w:cs="Arial"/>
          <w:sz w:val="24"/>
          <w:szCs w:val="24"/>
        </w:rPr>
        <w:t xml:space="preserve"> produisent des intérêts pour 206 K€ en 2023 contre 22 K€ en 2022. </w:t>
      </w:r>
      <w:r w:rsidR="00DF7EBC" w:rsidRPr="000B5123">
        <w:rPr>
          <w:rFonts w:ascii="Arial" w:hAnsi="Arial" w:cs="Arial"/>
          <w:sz w:val="24"/>
          <w:szCs w:val="24"/>
        </w:rPr>
        <w:t xml:space="preserve"> </w:t>
      </w:r>
      <w:r w:rsidR="00326E20" w:rsidRPr="000B5123">
        <w:rPr>
          <w:rFonts w:ascii="Arial" w:hAnsi="Arial" w:cs="Arial"/>
          <w:sz w:val="24"/>
          <w:szCs w:val="24"/>
        </w:rPr>
        <w:t xml:space="preserve"> </w:t>
      </w:r>
    </w:p>
    <w:p w14:paraId="7612115B" w14:textId="2E30CCAA" w:rsidR="002F1CD7" w:rsidRPr="000B5123" w:rsidRDefault="002F1CD7" w:rsidP="00F26BCA">
      <w:pPr>
        <w:tabs>
          <w:tab w:val="left" w:pos="8115"/>
        </w:tabs>
        <w:spacing w:after="0"/>
        <w:ind w:left="851"/>
        <w:rPr>
          <w:rFonts w:ascii="Arial" w:hAnsi="Arial" w:cs="Arial"/>
          <w:sz w:val="24"/>
          <w:szCs w:val="24"/>
        </w:rPr>
      </w:pPr>
    </w:p>
    <w:p w14:paraId="142DD56A" w14:textId="1112A4F0" w:rsidR="009200B6" w:rsidRPr="000B5123" w:rsidRDefault="009200B6" w:rsidP="00F26BCA">
      <w:pPr>
        <w:tabs>
          <w:tab w:val="left" w:pos="8115"/>
        </w:tabs>
        <w:spacing w:after="0"/>
        <w:ind w:left="851"/>
        <w:rPr>
          <w:rFonts w:ascii="Arial" w:hAnsi="Arial" w:cs="Arial"/>
          <w:b/>
          <w:bCs/>
          <w:sz w:val="24"/>
          <w:szCs w:val="24"/>
        </w:rPr>
      </w:pPr>
      <w:r w:rsidRPr="000B5123">
        <w:rPr>
          <w:rFonts w:ascii="Arial" w:hAnsi="Arial" w:cs="Arial"/>
          <w:b/>
          <w:bCs/>
          <w:sz w:val="24"/>
          <w:szCs w:val="24"/>
        </w:rPr>
        <w:t>Le résultat courant s’établit à</w:t>
      </w:r>
      <w:r w:rsidR="00532F8E" w:rsidRPr="000B5123">
        <w:rPr>
          <w:rFonts w:ascii="Arial" w:hAnsi="Arial" w:cs="Arial"/>
          <w:b/>
          <w:bCs/>
          <w:sz w:val="24"/>
          <w:szCs w:val="24"/>
        </w:rPr>
        <w:t xml:space="preserve"> </w:t>
      </w:r>
      <w:r w:rsidR="006C1465">
        <w:rPr>
          <w:rFonts w:ascii="Arial" w:hAnsi="Arial" w:cs="Arial"/>
          <w:b/>
          <w:bCs/>
          <w:sz w:val="24"/>
          <w:szCs w:val="24"/>
        </w:rPr>
        <w:t>-</w:t>
      </w:r>
      <w:r w:rsidR="00A64AED" w:rsidRPr="000B5123">
        <w:rPr>
          <w:rFonts w:ascii="Arial" w:hAnsi="Arial" w:cs="Arial"/>
          <w:b/>
          <w:bCs/>
          <w:sz w:val="24"/>
          <w:szCs w:val="24"/>
        </w:rPr>
        <w:t xml:space="preserve"> 2 160 K€ contre </w:t>
      </w:r>
      <w:r w:rsidR="006C1465">
        <w:rPr>
          <w:rFonts w:ascii="Arial" w:hAnsi="Arial" w:cs="Arial"/>
          <w:b/>
          <w:bCs/>
          <w:sz w:val="24"/>
          <w:szCs w:val="24"/>
        </w:rPr>
        <w:t>-</w:t>
      </w:r>
      <w:r w:rsidR="00DF7EBC" w:rsidRPr="000B5123">
        <w:rPr>
          <w:rFonts w:ascii="Arial" w:hAnsi="Arial" w:cs="Arial"/>
          <w:b/>
          <w:bCs/>
          <w:sz w:val="24"/>
          <w:szCs w:val="24"/>
        </w:rPr>
        <w:t xml:space="preserve"> 3 614 </w:t>
      </w:r>
      <w:r w:rsidR="00326E20" w:rsidRPr="000B5123">
        <w:rPr>
          <w:rFonts w:ascii="Arial" w:hAnsi="Arial" w:cs="Arial"/>
          <w:b/>
          <w:bCs/>
          <w:sz w:val="24"/>
          <w:szCs w:val="24"/>
        </w:rPr>
        <w:t xml:space="preserve">K€ </w:t>
      </w:r>
      <w:r w:rsidRPr="000B5123">
        <w:rPr>
          <w:rFonts w:ascii="Arial" w:hAnsi="Arial" w:cs="Arial"/>
          <w:b/>
          <w:bCs/>
          <w:sz w:val="24"/>
          <w:szCs w:val="24"/>
        </w:rPr>
        <w:t>en 20</w:t>
      </w:r>
      <w:r w:rsidR="00326E20" w:rsidRPr="000B5123">
        <w:rPr>
          <w:rFonts w:ascii="Arial" w:hAnsi="Arial" w:cs="Arial"/>
          <w:b/>
          <w:bCs/>
          <w:sz w:val="24"/>
          <w:szCs w:val="24"/>
        </w:rPr>
        <w:t>2</w:t>
      </w:r>
      <w:r w:rsidR="00A64AED" w:rsidRPr="000B5123">
        <w:rPr>
          <w:rFonts w:ascii="Arial" w:hAnsi="Arial" w:cs="Arial"/>
          <w:b/>
          <w:bCs/>
          <w:sz w:val="24"/>
          <w:szCs w:val="24"/>
        </w:rPr>
        <w:t>2</w:t>
      </w:r>
      <w:r w:rsidR="00326E20" w:rsidRPr="000B5123">
        <w:rPr>
          <w:rFonts w:ascii="Arial" w:hAnsi="Arial" w:cs="Arial"/>
          <w:b/>
          <w:bCs/>
          <w:sz w:val="24"/>
          <w:szCs w:val="24"/>
        </w:rPr>
        <w:t>.</w:t>
      </w:r>
    </w:p>
    <w:p w14:paraId="381667D0" w14:textId="77777777" w:rsidR="00623820" w:rsidRPr="000B5123" w:rsidRDefault="00623820" w:rsidP="00F26BCA">
      <w:pPr>
        <w:tabs>
          <w:tab w:val="left" w:pos="8115"/>
        </w:tabs>
        <w:spacing w:after="0"/>
        <w:ind w:left="851"/>
        <w:rPr>
          <w:rFonts w:ascii="Arial" w:hAnsi="Arial" w:cs="Arial"/>
          <w:sz w:val="24"/>
          <w:szCs w:val="24"/>
        </w:rPr>
      </w:pPr>
    </w:p>
    <w:p w14:paraId="3948A52A" w14:textId="2F96B6F6" w:rsidR="00226DFD" w:rsidRPr="000B5123" w:rsidRDefault="00226DFD" w:rsidP="00F26BCA">
      <w:pPr>
        <w:spacing w:after="0"/>
        <w:ind w:left="851"/>
        <w:rPr>
          <w:rFonts w:ascii="Arial" w:hAnsi="Arial" w:cs="Arial"/>
          <w:b/>
          <w:sz w:val="24"/>
          <w:szCs w:val="24"/>
        </w:rPr>
      </w:pPr>
      <w:r w:rsidRPr="000B5123">
        <w:rPr>
          <w:rFonts w:ascii="Arial" w:hAnsi="Arial" w:cs="Arial"/>
          <w:b/>
          <w:sz w:val="24"/>
          <w:szCs w:val="24"/>
        </w:rPr>
        <w:t xml:space="preserve">Le résultat exceptionnel atteint </w:t>
      </w:r>
      <w:r w:rsidR="00A64AED" w:rsidRPr="000B5123">
        <w:rPr>
          <w:rFonts w:ascii="Arial" w:hAnsi="Arial" w:cs="Arial"/>
          <w:b/>
          <w:sz w:val="24"/>
          <w:szCs w:val="24"/>
        </w:rPr>
        <w:t xml:space="preserve">+ 224 K€ contre </w:t>
      </w:r>
      <w:r w:rsidR="00326E20" w:rsidRPr="000B5123">
        <w:rPr>
          <w:rFonts w:ascii="Arial" w:hAnsi="Arial" w:cs="Arial"/>
          <w:b/>
          <w:sz w:val="24"/>
          <w:szCs w:val="24"/>
        </w:rPr>
        <w:t xml:space="preserve">+ </w:t>
      </w:r>
      <w:r w:rsidR="00B303C5" w:rsidRPr="000B5123">
        <w:rPr>
          <w:rFonts w:ascii="Arial" w:hAnsi="Arial" w:cs="Arial"/>
          <w:b/>
          <w:sz w:val="24"/>
          <w:szCs w:val="24"/>
        </w:rPr>
        <w:t>853</w:t>
      </w:r>
      <w:r w:rsidR="00326E20" w:rsidRPr="000B5123">
        <w:rPr>
          <w:rFonts w:ascii="Arial" w:hAnsi="Arial" w:cs="Arial"/>
          <w:b/>
          <w:sz w:val="24"/>
          <w:szCs w:val="24"/>
        </w:rPr>
        <w:t xml:space="preserve"> K€</w:t>
      </w:r>
      <w:r w:rsidR="00532F8E" w:rsidRPr="000B5123">
        <w:rPr>
          <w:rFonts w:ascii="Arial" w:hAnsi="Arial" w:cs="Arial"/>
          <w:b/>
          <w:sz w:val="24"/>
          <w:szCs w:val="24"/>
        </w:rPr>
        <w:t xml:space="preserve"> </w:t>
      </w:r>
      <w:r w:rsidRPr="000B5123">
        <w:rPr>
          <w:rFonts w:ascii="Arial" w:hAnsi="Arial" w:cs="Arial"/>
          <w:b/>
          <w:sz w:val="24"/>
          <w:szCs w:val="24"/>
        </w:rPr>
        <w:t>en 20</w:t>
      </w:r>
      <w:r w:rsidR="00326E20" w:rsidRPr="000B5123">
        <w:rPr>
          <w:rFonts w:ascii="Arial" w:hAnsi="Arial" w:cs="Arial"/>
          <w:b/>
          <w:sz w:val="24"/>
          <w:szCs w:val="24"/>
        </w:rPr>
        <w:t>2</w:t>
      </w:r>
      <w:r w:rsidR="00A64AED" w:rsidRPr="000B5123">
        <w:rPr>
          <w:rFonts w:ascii="Arial" w:hAnsi="Arial" w:cs="Arial"/>
          <w:b/>
          <w:sz w:val="24"/>
          <w:szCs w:val="24"/>
        </w:rPr>
        <w:t>2</w:t>
      </w:r>
      <w:r w:rsidR="00532F8E" w:rsidRPr="000B5123">
        <w:rPr>
          <w:rFonts w:ascii="Arial" w:hAnsi="Arial" w:cs="Arial"/>
          <w:b/>
          <w:sz w:val="24"/>
          <w:szCs w:val="24"/>
        </w:rPr>
        <w:t>.</w:t>
      </w:r>
    </w:p>
    <w:p w14:paraId="3AAEDE41" w14:textId="193584A7" w:rsidR="00825D58" w:rsidRPr="000B5123" w:rsidRDefault="00A64AED" w:rsidP="00F26BCA">
      <w:pPr>
        <w:spacing w:after="0"/>
        <w:ind w:left="851"/>
        <w:rPr>
          <w:rFonts w:ascii="Arial" w:hAnsi="Arial" w:cs="Arial"/>
          <w:bCs/>
          <w:sz w:val="24"/>
          <w:szCs w:val="24"/>
        </w:rPr>
      </w:pPr>
      <w:r w:rsidRPr="000B5123">
        <w:rPr>
          <w:rFonts w:ascii="Arial" w:hAnsi="Arial" w:cs="Arial"/>
          <w:bCs/>
          <w:sz w:val="24"/>
          <w:szCs w:val="24"/>
        </w:rPr>
        <w:t>Les ventes de biens immobiliers programmées au budget n’arrivent pas à se concrétiser en 2023. Seule une vente par dation en paiement enregistrée dans la première semaine de janvier 2023 donne lieu à un produit de 300 K€ compensé par une valeur nette comptable de 72 K€ entraina</w:t>
      </w:r>
      <w:r w:rsidR="007314CE" w:rsidRPr="000B5123">
        <w:rPr>
          <w:rFonts w:ascii="Arial" w:hAnsi="Arial" w:cs="Arial"/>
          <w:bCs/>
          <w:sz w:val="24"/>
          <w:szCs w:val="24"/>
        </w:rPr>
        <w:t>n</w:t>
      </w:r>
      <w:r w:rsidRPr="000B5123">
        <w:rPr>
          <w:rFonts w:ascii="Arial" w:hAnsi="Arial" w:cs="Arial"/>
          <w:bCs/>
          <w:sz w:val="24"/>
          <w:szCs w:val="24"/>
        </w:rPr>
        <w:t xml:space="preserve">t une plus-value de 228 K€. En 2022 les </w:t>
      </w:r>
      <w:r w:rsidR="00825D58" w:rsidRPr="000B5123">
        <w:rPr>
          <w:rFonts w:ascii="Arial" w:hAnsi="Arial" w:cs="Arial"/>
          <w:bCs/>
          <w:sz w:val="24"/>
          <w:szCs w:val="24"/>
        </w:rPr>
        <w:t xml:space="preserve">produits exceptionnels </w:t>
      </w:r>
      <w:r w:rsidR="00B303C5" w:rsidRPr="000B5123">
        <w:rPr>
          <w:rFonts w:ascii="Arial" w:hAnsi="Arial" w:cs="Arial"/>
          <w:bCs/>
          <w:sz w:val="24"/>
          <w:szCs w:val="24"/>
        </w:rPr>
        <w:t xml:space="preserve">issus de la vente de biens immobiliers ayant cessé d’être utilisés par </w:t>
      </w:r>
      <w:r w:rsidR="00B303C5" w:rsidRPr="000B5123">
        <w:rPr>
          <w:rFonts w:ascii="Arial" w:hAnsi="Arial" w:cs="Arial"/>
          <w:bCs/>
          <w:sz w:val="24"/>
          <w:szCs w:val="24"/>
        </w:rPr>
        <w:lastRenderedPageBreak/>
        <w:t xml:space="preserve">certains comités </w:t>
      </w:r>
      <w:r w:rsidRPr="000B5123">
        <w:rPr>
          <w:rFonts w:ascii="Arial" w:hAnsi="Arial" w:cs="Arial"/>
          <w:bCs/>
          <w:sz w:val="24"/>
          <w:szCs w:val="24"/>
        </w:rPr>
        <w:t xml:space="preserve">s’élevaient à </w:t>
      </w:r>
      <w:r w:rsidR="00B303C5" w:rsidRPr="000B5123">
        <w:rPr>
          <w:rFonts w:ascii="Arial" w:hAnsi="Arial" w:cs="Arial"/>
          <w:bCs/>
          <w:sz w:val="24"/>
          <w:szCs w:val="24"/>
        </w:rPr>
        <w:t>1 8</w:t>
      </w:r>
      <w:r w:rsidR="00F85274" w:rsidRPr="000B5123">
        <w:rPr>
          <w:rFonts w:ascii="Arial" w:hAnsi="Arial" w:cs="Arial"/>
          <w:bCs/>
          <w:sz w:val="24"/>
          <w:szCs w:val="24"/>
        </w:rPr>
        <w:t>83</w:t>
      </w:r>
      <w:r w:rsidR="00B303C5" w:rsidRPr="000B5123">
        <w:rPr>
          <w:rFonts w:ascii="Arial" w:hAnsi="Arial" w:cs="Arial"/>
          <w:bCs/>
          <w:sz w:val="24"/>
          <w:szCs w:val="24"/>
        </w:rPr>
        <w:t xml:space="preserve"> K€ </w:t>
      </w:r>
      <w:r w:rsidR="00FB76A7" w:rsidRPr="000B5123">
        <w:rPr>
          <w:rFonts w:ascii="Arial" w:hAnsi="Arial" w:cs="Arial"/>
          <w:bCs/>
          <w:sz w:val="24"/>
          <w:szCs w:val="24"/>
        </w:rPr>
        <w:t xml:space="preserve">dont </w:t>
      </w:r>
      <w:r w:rsidR="007314CE" w:rsidRPr="000B5123">
        <w:rPr>
          <w:rFonts w:ascii="Arial" w:hAnsi="Arial" w:cs="Arial"/>
          <w:bCs/>
          <w:sz w:val="24"/>
          <w:szCs w:val="24"/>
        </w:rPr>
        <w:t xml:space="preserve">à </w:t>
      </w:r>
      <w:r w:rsidR="00FB76A7" w:rsidRPr="000B5123">
        <w:rPr>
          <w:rFonts w:ascii="Arial" w:hAnsi="Arial" w:cs="Arial"/>
          <w:bCs/>
          <w:sz w:val="24"/>
          <w:szCs w:val="24"/>
        </w:rPr>
        <w:t xml:space="preserve">déduire </w:t>
      </w:r>
      <w:r w:rsidR="00B303C5" w:rsidRPr="000B5123">
        <w:rPr>
          <w:rFonts w:ascii="Arial" w:hAnsi="Arial" w:cs="Arial"/>
          <w:bCs/>
          <w:sz w:val="24"/>
          <w:szCs w:val="24"/>
        </w:rPr>
        <w:t xml:space="preserve">la valeur nette comptable de ces biens pour </w:t>
      </w:r>
      <w:r w:rsidR="00F85274" w:rsidRPr="000B5123">
        <w:rPr>
          <w:rFonts w:ascii="Arial" w:hAnsi="Arial" w:cs="Arial"/>
          <w:bCs/>
          <w:sz w:val="24"/>
          <w:szCs w:val="24"/>
        </w:rPr>
        <w:t>913</w:t>
      </w:r>
      <w:r w:rsidR="00825D58" w:rsidRPr="000B5123">
        <w:rPr>
          <w:rFonts w:ascii="Arial" w:hAnsi="Arial" w:cs="Arial"/>
          <w:bCs/>
          <w:sz w:val="24"/>
          <w:szCs w:val="24"/>
        </w:rPr>
        <w:t xml:space="preserve"> K€</w:t>
      </w:r>
      <w:r w:rsidR="007314CE" w:rsidRPr="000B5123">
        <w:rPr>
          <w:rFonts w:ascii="Arial" w:hAnsi="Arial" w:cs="Arial"/>
          <w:bCs/>
          <w:sz w:val="24"/>
          <w:szCs w:val="24"/>
        </w:rPr>
        <w:t>, laissant u</w:t>
      </w:r>
      <w:r w:rsidR="00B303C5" w:rsidRPr="000B5123">
        <w:rPr>
          <w:rFonts w:ascii="Arial" w:hAnsi="Arial" w:cs="Arial"/>
          <w:bCs/>
          <w:sz w:val="24"/>
          <w:szCs w:val="24"/>
        </w:rPr>
        <w:t xml:space="preserve">ne plus-value de </w:t>
      </w:r>
      <w:r w:rsidR="00F85274" w:rsidRPr="000B5123">
        <w:rPr>
          <w:rFonts w:ascii="Arial" w:hAnsi="Arial" w:cs="Arial"/>
          <w:bCs/>
          <w:sz w:val="24"/>
          <w:szCs w:val="24"/>
        </w:rPr>
        <w:t>970</w:t>
      </w:r>
      <w:r w:rsidR="00B303C5" w:rsidRPr="000B5123">
        <w:rPr>
          <w:rFonts w:ascii="Arial" w:hAnsi="Arial" w:cs="Arial"/>
          <w:bCs/>
          <w:sz w:val="24"/>
          <w:szCs w:val="24"/>
        </w:rPr>
        <w:t xml:space="preserve"> K€</w:t>
      </w:r>
      <w:r w:rsidR="00825D58" w:rsidRPr="000B5123">
        <w:rPr>
          <w:rFonts w:ascii="Arial" w:hAnsi="Arial" w:cs="Arial"/>
          <w:bCs/>
          <w:sz w:val="24"/>
          <w:szCs w:val="24"/>
        </w:rPr>
        <w:t xml:space="preserve">. </w:t>
      </w:r>
    </w:p>
    <w:p w14:paraId="706B6639" w14:textId="77777777" w:rsidR="00A60A2B" w:rsidRPr="000B5123" w:rsidRDefault="00A60A2B" w:rsidP="00F26BCA">
      <w:pPr>
        <w:spacing w:after="0"/>
        <w:ind w:left="851"/>
        <w:rPr>
          <w:rFonts w:ascii="Arial" w:hAnsi="Arial" w:cs="Arial"/>
          <w:b/>
          <w:sz w:val="24"/>
          <w:szCs w:val="24"/>
        </w:rPr>
      </w:pPr>
    </w:p>
    <w:p w14:paraId="4D78CA93" w14:textId="77777777" w:rsidR="001A791D" w:rsidRDefault="00894117" w:rsidP="00F26BCA">
      <w:pPr>
        <w:spacing w:after="0"/>
        <w:ind w:left="851"/>
        <w:rPr>
          <w:rFonts w:ascii="Arial" w:hAnsi="Arial" w:cs="Arial"/>
          <w:b/>
          <w:sz w:val="24"/>
          <w:szCs w:val="24"/>
        </w:rPr>
      </w:pPr>
      <w:r w:rsidRPr="000B5123">
        <w:rPr>
          <w:rFonts w:ascii="Arial" w:hAnsi="Arial" w:cs="Arial"/>
          <w:b/>
          <w:sz w:val="24"/>
          <w:szCs w:val="24"/>
        </w:rPr>
        <w:t xml:space="preserve">Au </w:t>
      </w:r>
      <w:r w:rsidR="00F85274" w:rsidRPr="000B5123">
        <w:rPr>
          <w:rFonts w:ascii="Arial" w:hAnsi="Arial" w:cs="Arial"/>
          <w:b/>
          <w:sz w:val="24"/>
          <w:szCs w:val="24"/>
        </w:rPr>
        <w:t>total</w:t>
      </w:r>
      <w:r w:rsidRPr="000B5123">
        <w:rPr>
          <w:rFonts w:ascii="Arial" w:hAnsi="Arial" w:cs="Arial"/>
          <w:b/>
          <w:sz w:val="24"/>
          <w:szCs w:val="24"/>
        </w:rPr>
        <w:t xml:space="preserve">, le résultat net </w:t>
      </w:r>
      <w:r w:rsidR="00A60A2B" w:rsidRPr="000B5123">
        <w:rPr>
          <w:rFonts w:ascii="Arial" w:hAnsi="Arial" w:cs="Arial"/>
          <w:b/>
          <w:sz w:val="24"/>
          <w:szCs w:val="24"/>
        </w:rPr>
        <w:t xml:space="preserve">consolidé de l’Association s’établit à </w:t>
      </w:r>
      <w:r w:rsidR="00FB76A7" w:rsidRPr="000B5123">
        <w:rPr>
          <w:rFonts w:ascii="Arial" w:hAnsi="Arial" w:cs="Arial"/>
          <w:b/>
          <w:sz w:val="24"/>
          <w:szCs w:val="24"/>
        </w:rPr>
        <w:t>-</w:t>
      </w:r>
      <w:r w:rsidR="00CE4E5C">
        <w:rPr>
          <w:rFonts w:ascii="Arial" w:hAnsi="Arial" w:cs="Arial"/>
          <w:b/>
          <w:sz w:val="24"/>
          <w:szCs w:val="24"/>
        </w:rPr>
        <w:t xml:space="preserve"> </w:t>
      </w:r>
      <w:r w:rsidR="00FB76A7" w:rsidRPr="000B5123">
        <w:rPr>
          <w:rFonts w:ascii="Arial" w:hAnsi="Arial" w:cs="Arial"/>
          <w:b/>
          <w:sz w:val="24"/>
          <w:szCs w:val="24"/>
        </w:rPr>
        <w:t xml:space="preserve">2 032 K€ contre </w:t>
      </w:r>
    </w:p>
    <w:p w14:paraId="633D978F" w14:textId="7EC7AE5B" w:rsidR="00894117" w:rsidRPr="000B5123" w:rsidRDefault="00CE4E5C" w:rsidP="00F26BCA">
      <w:pPr>
        <w:spacing w:after="0"/>
        <w:ind w:left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B303C5" w:rsidRPr="000B5123">
        <w:rPr>
          <w:rFonts w:ascii="Arial" w:hAnsi="Arial" w:cs="Arial"/>
          <w:b/>
          <w:sz w:val="24"/>
          <w:szCs w:val="24"/>
        </w:rPr>
        <w:t xml:space="preserve">2 849 K€ </w:t>
      </w:r>
      <w:r w:rsidR="00FB76A7" w:rsidRPr="000B5123">
        <w:rPr>
          <w:rFonts w:ascii="Arial" w:hAnsi="Arial" w:cs="Arial"/>
          <w:b/>
          <w:sz w:val="24"/>
          <w:szCs w:val="24"/>
        </w:rPr>
        <w:t xml:space="preserve">en </w:t>
      </w:r>
      <w:r w:rsidR="00A60A2B" w:rsidRPr="000B5123">
        <w:rPr>
          <w:rFonts w:ascii="Arial" w:hAnsi="Arial" w:cs="Arial"/>
          <w:b/>
          <w:sz w:val="24"/>
          <w:szCs w:val="24"/>
        </w:rPr>
        <w:t>20</w:t>
      </w:r>
      <w:r w:rsidR="003B14FD" w:rsidRPr="000B5123">
        <w:rPr>
          <w:rFonts w:ascii="Arial" w:hAnsi="Arial" w:cs="Arial"/>
          <w:b/>
          <w:sz w:val="24"/>
          <w:szCs w:val="24"/>
        </w:rPr>
        <w:t>2</w:t>
      </w:r>
      <w:r w:rsidR="00FB76A7" w:rsidRPr="000B5123">
        <w:rPr>
          <w:rFonts w:ascii="Arial" w:hAnsi="Arial" w:cs="Arial"/>
          <w:b/>
          <w:sz w:val="24"/>
          <w:szCs w:val="24"/>
        </w:rPr>
        <w:t>2</w:t>
      </w:r>
      <w:r w:rsidR="00A60A2B" w:rsidRPr="000B5123">
        <w:rPr>
          <w:rFonts w:ascii="Arial" w:hAnsi="Arial" w:cs="Arial"/>
          <w:b/>
          <w:sz w:val="24"/>
          <w:szCs w:val="24"/>
        </w:rPr>
        <w:t>.</w:t>
      </w:r>
    </w:p>
    <w:p w14:paraId="4CEC36B8" w14:textId="77777777" w:rsidR="00623820" w:rsidRPr="000B5123" w:rsidRDefault="00623820" w:rsidP="00F26BCA">
      <w:pPr>
        <w:spacing w:after="0"/>
        <w:ind w:left="851"/>
        <w:rPr>
          <w:rFonts w:ascii="Arial" w:hAnsi="Arial" w:cs="Arial"/>
          <w:b/>
          <w:sz w:val="24"/>
          <w:szCs w:val="24"/>
        </w:rPr>
      </w:pPr>
    </w:p>
    <w:p w14:paraId="1CFC0EA8" w14:textId="546FA72D" w:rsidR="00894117" w:rsidRPr="000B5123" w:rsidRDefault="00894117" w:rsidP="008422CD">
      <w:pPr>
        <w:pStyle w:val="Titre1"/>
        <w:ind w:left="851"/>
      </w:pPr>
      <w:bookmarkStart w:id="2" w:name="_Toc168581066"/>
      <w:r w:rsidRPr="000B5123">
        <w:t>Bilan</w:t>
      </w:r>
      <w:bookmarkEnd w:id="2"/>
    </w:p>
    <w:p w14:paraId="0CCB0665" w14:textId="77777777" w:rsidR="00894117" w:rsidRPr="000B5123" w:rsidRDefault="00894117" w:rsidP="00F26BCA">
      <w:pPr>
        <w:spacing w:after="0"/>
        <w:ind w:left="851"/>
        <w:rPr>
          <w:rFonts w:ascii="Arial" w:hAnsi="Arial" w:cs="Arial"/>
          <w:b/>
          <w:sz w:val="24"/>
          <w:szCs w:val="24"/>
        </w:rPr>
      </w:pPr>
    </w:p>
    <w:p w14:paraId="5C3466C7" w14:textId="77777777" w:rsidR="001A791D" w:rsidRDefault="00894117" w:rsidP="00F26BCA">
      <w:pPr>
        <w:spacing w:after="0"/>
        <w:ind w:left="851"/>
        <w:rPr>
          <w:rFonts w:ascii="Arial" w:hAnsi="Arial" w:cs="Arial"/>
          <w:b/>
          <w:sz w:val="24"/>
          <w:szCs w:val="24"/>
        </w:rPr>
      </w:pPr>
      <w:r w:rsidRPr="000B5123">
        <w:rPr>
          <w:rFonts w:ascii="Arial" w:hAnsi="Arial" w:cs="Arial"/>
          <w:b/>
          <w:sz w:val="24"/>
          <w:szCs w:val="24"/>
        </w:rPr>
        <w:t xml:space="preserve">Le total du bilan </w:t>
      </w:r>
      <w:r w:rsidR="00A60A2B" w:rsidRPr="000B5123">
        <w:rPr>
          <w:rFonts w:ascii="Arial" w:hAnsi="Arial" w:cs="Arial"/>
          <w:b/>
          <w:sz w:val="24"/>
          <w:szCs w:val="24"/>
        </w:rPr>
        <w:t xml:space="preserve">s’établit à </w:t>
      </w:r>
      <w:r w:rsidR="002836F0" w:rsidRPr="000B5123">
        <w:rPr>
          <w:rFonts w:ascii="Arial" w:hAnsi="Arial" w:cs="Arial"/>
          <w:b/>
          <w:sz w:val="24"/>
          <w:szCs w:val="24"/>
        </w:rPr>
        <w:t xml:space="preserve">69 932 K€ fin 2023 contre </w:t>
      </w:r>
      <w:r w:rsidR="00003A57" w:rsidRPr="000B5123">
        <w:rPr>
          <w:rFonts w:ascii="Arial" w:hAnsi="Arial" w:cs="Arial"/>
          <w:b/>
          <w:sz w:val="24"/>
          <w:szCs w:val="24"/>
        </w:rPr>
        <w:t>69 477 K€ fin 2022</w:t>
      </w:r>
      <w:r w:rsidR="0038752F" w:rsidRPr="000B5123">
        <w:rPr>
          <w:rFonts w:ascii="Arial" w:hAnsi="Arial" w:cs="Arial"/>
          <w:b/>
          <w:sz w:val="24"/>
          <w:szCs w:val="24"/>
        </w:rPr>
        <w:t xml:space="preserve">, </w:t>
      </w:r>
      <w:r w:rsidR="001E73BB" w:rsidRPr="000B5123">
        <w:rPr>
          <w:rFonts w:ascii="Arial" w:hAnsi="Arial" w:cs="Arial"/>
          <w:b/>
          <w:sz w:val="24"/>
          <w:szCs w:val="24"/>
        </w:rPr>
        <w:t xml:space="preserve">principalement </w:t>
      </w:r>
      <w:r w:rsidR="00571C07" w:rsidRPr="000B5123">
        <w:rPr>
          <w:rFonts w:ascii="Arial" w:hAnsi="Arial" w:cs="Arial"/>
          <w:b/>
          <w:sz w:val="24"/>
          <w:szCs w:val="24"/>
        </w:rPr>
        <w:t xml:space="preserve">sous l’effet de </w:t>
      </w:r>
      <w:r w:rsidR="001D1672" w:rsidRPr="000B5123">
        <w:rPr>
          <w:rFonts w:ascii="Arial" w:hAnsi="Arial" w:cs="Arial"/>
          <w:b/>
          <w:sz w:val="24"/>
          <w:szCs w:val="24"/>
        </w:rPr>
        <w:t xml:space="preserve">la </w:t>
      </w:r>
      <w:r w:rsidR="002836F0" w:rsidRPr="000B5123">
        <w:rPr>
          <w:rFonts w:ascii="Arial" w:hAnsi="Arial" w:cs="Arial"/>
          <w:b/>
          <w:sz w:val="24"/>
          <w:szCs w:val="24"/>
        </w:rPr>
        <w:t xml:space="preserve">hausse </w:t>
      </w:r>
      <w:r w:rsidR="00571C07" w:rsidRPr="000B5123">
        <w:rPr>
          <w:rFonts w:ascii="Arial" w:hAnsi="Arial" w:cs="Arial"/>
          <w:b/>
          <w:sz w:val="24"/>
          <w:szCs w:val="24"/>
        </w:rPr>
        <w:t>de la valeur des legs de</w:t>
      </w:r>
      <w:r w:rsidR="0062723B" w:rsidRPr="000B5123">
        <w:rPr>
          <w:rFonts w:ascii="Arial" w:hAnsi="Arial" w:cs="Arial"/>
          <w:b/>
          <w:sz w:val="24"/>
          <w:szCs w:val="24"/>
        </w:rPr>
        <w:t xml:space="preserve"> </w:t>
      </w:r>
      <w:r w:rsidR="002836F0" w:rsidRPr="000B5123">
        <w:rPr>
          <w:rFonts w:ascii="Arial" w:hAnsi="Arial" w:cs="Arial"/>
          <w:b/>
          <w:sz w:val="24"/>
          <w:szCs w:val="24"/>
        </w:rPr>
        <w:t>1 575</w:t>
      </w:r>
      <w:r w:rsidR="00571C07" w:rsidRPr="000B5123">
        <w:rPr>
          <w:rFonts w:ascii="Arial" w:hAnsi="Arial" w:cs="Arial"/>
          <w:b/>
          <w:sz w:val="24"/>
          <w:szCs w:val="24"/>
        </w:rPr>
        <w:t xml:space="preserve"> K€</w:t>
      </w:r>
      <w:r w:rsidR="006F17EE" w:rsidRPr="000B5123">
        <w:rPr>
          <w:rFonts w:ascii="Arial" w:hAnsi="Arial" w:cs="Arial"/>
          <w:b/>
          <w:sz w:val="24"/>
          <w:szCs w:val="24"/>
        </w:rPr>
        <w:t xml:space="preserve">, </w:t>
      </w:r>
      <w:r w:rsidR="00003A57" w:rsidRPr="000B5123">
        <w:rPr>
          <w:rFonts w:ascii="Arial" w:hAnsi="Arial" w:cs="Arial"/>
          <w:b/>
          <w:sz w:val="24"/>
          <w:szCs w:val="24"/>
        </w:rPr>
        <w:t>de la</w:t>
      </w:r>
      <w:r w:rsidR="002836F0" w:rsidRPr="000B5123">
        <w:rPr>
          <w:rFonts w:ascii="Arial" w:hAnsi="Arial" w:cs="Arial"/>
          <w:b/>
          <w:sz w:val="24"/>
          <w:szCs w:val="24"/>
        </w:rPr>
        <w:t xml:space="preserve"> </w:t>
      </w:r>
      <w:r w:rsidR="008D1F8C" w:rsidRPr="000B5123">
        <w:rPr>
          <w:rFonts w:ascii="Arial" w:hAnsi="Arial" w:cs="Arial"/>
          <w:b/>
          <w:sz w:val="24"/>
          <w:szCs w:val="24"/>
        </w:rPr>
        <w:t xml:space="preserve">réduction </w:t>
      </w:r>
      <w:r w:rsidR="002836F0" w:rsidRPr="000B5123">
        <w:rPr>
          <w:rFonts w:ascii="Arial" w:hAnsi="Arial" w:cs="Arial"/>
          <w:b/>
          <w:sz w:val="24"/>
          <w:szCs w:val="24"/>
        </w:rPr>
        <w:t>de la</w:t>
      </w:r>
      <w:r w:rsidR="00003A57" w:rsidRPr="000B5123">
        <w:rPr>
          <w:rFonts w:ascii="Arial" w:hAnsi="Arial" w:cs="Arial"/>
          <w:b/>
          <w:sz w:val="24"/>
          <w:szCs w:val="24"/>
        </w:rPr>
        <w:t xml:space="preserve"> situation nette </w:t>
      </w:r>
      <w:r w:rsidR="008D1F8C" w:rsidRPr="000B5123">
        <w:rPr>
          <w:rFonts w:ascii="Arial" w:hAnsi="Arial" w:cs="Arial"/>
          <w:b/>
          <w:sz w:val="24"/>
          <w:szCs w:val="24"/>
        </w:rPr>
        <w:t xml:space="preserve">après incorporation du </w:t>
      </w:r>
      <w:r w:rsidR="001D1672" w:rsidRPr="000B5123">
        <w:rPr>
          <w:rFonts w:ascii="Arial" w:hAnsi="Arial" w:cs="Arial"/>
          <w:b/>
          <w:sz w:val="24"/>
          <w:szCs w:val="24"/>
        </w:rPr>
        <w:t xml:space="preserve">résultat net de l’exercice </w:t>
      </w:r>
    </w:p>
    <w:p w14:paraId="63C10F7B" w14:textId="2E004A70" w:rsidR="00894117" w:rsidRPr="000B5123" w:rsidRDefault="001D1672" w:rsidP="00F26BCA">
      <w:pPr>
        <w:spacing w:after="0"/>
        <w:ind w:left="851"/>
        <w:rPr>
          <w:rFonts w:ascii="Arial" w:hAnsi="Arial" w:cs="Arial"/>
          <w:b/>
          <w:sz w:val="24"/>
          <w:szCs w:val="24"/>
        </w:rPr>
      </w:pPr>
      <w:r w:rsidRPr="000B5123">
        <w:rPr>
          <w:rFonts w:ascii="Arial" w:hAnsi="Arial" w:cs="Arial"/>
          <w:b/>
          <w:sz w:val="24"/>
          <w:szCs w:val="24"/>
        </w:rPr>
        <w:t>(</w:t>
      </w:r>
      <w:r w:rsidR="00003A57" w:rsidRPr="000B5123">
        <w:rPr>
          <w:rFonts w:ascii="Arial" w:hAnsi="Arial" w:cs="Arial"/>
          <w:b/>
          <w:sz w:val="24"/>
          <w:szCs w:val="24"/>
        </w:rPr>
        <w:t xml:space="preserve">- 2 </w:t>
      </w:r>
      <w:r w:rsidR="002836F0" w:rsidRPr="000B5123">
        <w:rPr>
          <w:rFonts w:ascii="Arial" w:hAnsi="Arial" w:cs="Arial"/>
          <w:b/>
          <w:sz w:val="24"/>
          <w:szCs w:val="24"/>
        </w:rPr>
        <w:t>032</w:t>
      </w:r>
      <w:r w:rsidR="00682BE5" w:rsidRPr="000B5123">
        <w:rPr>
          <w:rFonts w:ascii="Arial" w:hAnsi="Arial" w:cs="Arial"/>
          <w:b/>
          <w:sz w:val="24"/>
          <w:szCs w:val="24"/>
        </w:rPr>
        <w:t xml:space="preserve"> </w:t>
      </w:r>
      <w:r w:rsidRPr="000B5123">
        <w:rPr>
          <w:rFonts w:ascii="Arial" w:hAnsi="Arial" w:cs="Arial"/>
          <w:b/>
          <w:sz w:val="24"/>
          <w:szCs w:val="24"/>
        </w:rPr>
        <w:t>K€)</w:t>
      </w:r>
      <w:r w:rsidR="008D1F8C" w:rsidRPr="000B5123">
        <w:rPr>
          <w:rFonts w:ascii="Arial" w:hAnsi="Arial" w:cs="Arial"/>
          <w:b/>
          <w:sz w:val="24"/>
          <w:szCs w:val="24"/>
        </w:rPr>
        <w:t>, de la hausse des autres dettes à court terme de 795 K€, l’endettement à moyen et long terme restant quasiment inchangé (+</w:t>
      </w:r>
      <w:r w:rsidR="00CE4E5C">
        <w:rPr>
          <w:rFonts w:ascii="Arial" w:hAnsi="Arial" w:cs="Arial"/>
          <w:b/>
          <w:sz w:val="24"/>
          <w:szCs w:val="24"/>
        </w:rPr>
        <w:t xml:space="preserve"> </w:t>
      </w:r>
      <w:r w:rsidR="008D1F8C" w:rsidRPr="000B5123">
        <w:rPr>
          <w:rFonts w:ascii="Arial" w:hAnsi="Arial" w:cs="Arial"/>
          <w:b/>
          <w:sz w:val="24"/>
          <w:szCs w:val="24"/>
        </w:rPr>
        <w:t>17 K€).</w:t>
      </w:r>
    </w:p>
    <w:p w14:paraId="007BC3C5" w14:textId="2523BBC0" w:rsidR="00423D9E" w:rsidRDefault="00423D9E" w:rsidP="00F26BCA">
      <w:pPr>
        <w:spacing w:after="0"/>
        <w:ind w:left="851"/>
        <w:rPr>
          <w:rFonts w:ascii="Arial" w:hAnsi="Arial" w:cs="Arial"/>
          <w:b/>
          <w:sz w:val="24"/>
          <w:szCs w:val="24"/>
        </w:rPr>
      </w:pPr>
    </w:p>
    <w:p w14:paraId="27120721" w14:textId="368D630A" w:rsidR="00894117" w:rsidRPr="000B5123" w:rsidRDefault="00894117" w:rsidP="008422CD">
      <w:pPr>
        <w:pStyle w:val="Titre2"/>
        <w:ind w:left="851"/>
      </w:pPr>
      <w:bookmarkStart w:id="3" w:name="_Toc168581067"/>
      <w:r w:rsidRPr="000B5123">
        <w:t>Actif</w:t>
      </w:r>
      <w:bookmarkEnd w:id="3"/>
    </w:p>
    <w:p w14:paraId="694FE84B" w14:textId="77777777" w:rsidR="001A791D" w:rsidRDefault="00894117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Les </w:t>
      </w:r>
      <w:r w:rsidRPr="000B5123">
        <w:rPr>
          <w:rFonts w:ascii="Arial" w:hAnsi="Arial" w:cs="Arial"/>
          <w:b/>
          <w:sz w:val="24"/>
          <w:szCs w:val="24"/>
        </w:rPr>
        <w:t>valeurs immobilisées</w:t>
      </w:r>
      <w:r w:rsidRPr="000B5123">
        <w:rPr>
          <w:rFonts w:ascii="Arial" w:hAnsi="Arial" w:cs="Arial"/>
          <w:sz w:val="24"/>
          <w:szCs w:val="24"/>
        </w:rPr>
        <w:t xml:space="preserve"> nettes </w:t>
      </w:r>
      <w:r w:rsidR="008D1F8C" w:rsidRPr="000B5123">
        <w:rPr>
          <w:rFonts w:ascii="Arial" w:hAnsi="Arial" w:cs="Arial"/>
          <w:sz w:val="24"/>
          <w:szCs w:val="24"/>
        </w:rPr>
        <w:t>augmentent de 1 988 K€</w:t>
      </w:r>
      <w:r w:rsidR="00863C61" w:rsidRPr="000B5123">
        <w:rPr>
          <w:rFonts w:ascii="Arial" w:hAnsi="Arial" w:cs="Arial"/>
          <w:sz w:val="24"/>
          <w:szCs w:val="24"/>
        </w:rPr>
        <w:t xml:space="preserve"> (</w:t>
      </w:r>
      <w:r w:rsidR="008D1F8C" w:rsidRPr="000B5123">
        <w:rPr>
          <w:rFonts w:ascii="Arial" w:hAnsi="Arial" w:cs="Arial"/>
          <w:sz w:val="24"/>
          <w:szCs w:val="24"/>
        </w:rPr>
        <w:t xml:space="preserve">29 466 K€ contre </w:t>
      </w:r>
      <w:r w:rsidR="00F85274" w:rsidRPr="000B5123">
        <w:rPr>
          <w:rFonts w:ascii="Arial" w:hAnsi="Arial" w:cs="Arial"/>
          <w:sz w:val="24"/>
          <w:szCs w:val="24"/>
        </w:rPr>
        <w:t>27 478 K€</w:t>
      </w:r>
      <w:r w:rsidR="00863C61" w:rsidRPr="000B5123">
        <w:rPr>
          <w:rFonts w:ascii="Arial" w:hAnsi="Arial" w:cs="Arial"/>
          <w:sz w:val="24"/>
          <w:szCs w:val="24"/>
        </w:rPr>
        <w:t xml:space="preserve"> </w:t>
      </w:r>
      <w:r w:rsidR="00A60A2B" w:rsidRPr="000B5123">
        <w:rPr>
          <w:rFonts w:ascii="Arial" w:hAnsi="Arial" w:cs="Arial"/>
          <w:sz w:val="24"/>
          <w:szCs w:val="24"/>
        </w:rPr>
        <w:t>en 20</w:t>
      </w:r>
      <w:r w:rsidR="00330723" w:rsidRPr="000B5123">
        <w:rPr>
          <w:rFonts w:ascii="Arial" w:hAnsi="Arial" w:cs="Arial"/>
          <w:sz w:val="24"/>
          <w:szCs w:val="24"/>
        </w:rPr>
        <w:t>2</w:t>
      </w:r>
      <w:r w:rsidR="008D1F8C" w:rsidRPr="000B5123">
        <w:rPr>
          <w:rFonts w:ascii="Arial" w:hAnsi="Arial" w:cs="Arial"/>
          <w:sz w:val="24"/>
          <w:szCs w:val="24"/>
        </w:rPr>
        <w:t>2</w:t>
      </w:r>
      <w:r w:rsidR="00863C61" w:rsidRPr="000B5123">
        <w:rPr>
          <w:rFonts w:ascii="Arial" w:hAnsi="Arial" w:cs="Arial"/>
          <w:sz w:val="24"/>
          <w:szCs w:val="24"/>
        </w:rPr>
        <w:t>)</w:t>
      </w:r>
      <w:r w:rsidRPr="000B5123">
        <w:rPr>
          <w:rFonts w:ascii="Arial" w:hAnsi="Arial" w:cs="Arial"/>
          <w:sz w:val="24"/>
          <w:szCs w:val="24"/>
        </w:rPr>
        <w:t xml:space="preserve">. </w:t>
      </w:r>
      <w:r w:rsidR="00863C61" w:rsidRPr="000B5123">
        <w:rPr>
          <w:rFonts w:ascii="Arial" w:hAnsi="Arial" w:cs="Arial"/>
          <w:sz w:val="24"/>
          <w:szCs w:val="24"/>
        </w:rPr>
        <w:t>L’essentiel provient de l</w:t>
      </w:r>
      <w:r w:rsidR="00330723" w:rsidRPr="000B5123">
        <w:rPr>
          <w:rFonts w:ascii="Arial" w:hAnsi="Arial" w:cs="Arial"/>
          <w:sz w:val="24"/>
          <w:szCs w:val="24"/>
        </w:rPr>
        <w:t xml:space="preserve">a </w:t>
      </w:r>
      <w:r w:rsidR="007314CE" w:rsidRPr="000B5123">
        <w:rPr>
          <w:rFonts w:ascii="Arial" w:hAnsi="Arial" w:cs="Arial"/>
          <w:sz w:val="24"/>
          <w:szCs w:val="24"/>
        </w:rPr>
        <w:t xml:space="preserve">hausse </w:t>
      </w:r>
      <w:r w:rsidR="00330723" w:rsidRPr="000B5123">
        <w:rPr>
          <w:rFonts w:ascii="Arial" w:hAnsi="Arial" w:cs="Arial"/>
          <w:sz w:val="24"/>
          <w:szCs w:val="24"/>
        </w:rPr>
        <w:t>de la l</w:t>
      </w:r>
      <w:r w:rsidR="00863C61" w:rsidRPr="000B5123">
        <w:rPr>
          <w:rFonts w:ascii="Arial" w:hAnsi="Arial" w:cs="Arial"/>
          <w:sz w:val="24"/>
          <w:szCs w:val="24"/>
        </w:rPr>
        <w:t xml:space="preserve">igne « Biens reçus par legs destinés à être cédés » pour </w:t>
      </w:r>
      <w:r w:rsidR="00F85274" w:rsidRPr="000B5123">
        <w:rPr>
          <w:rFonts w:ascii="Arial" w:hAnsi="Arial" w:cs="Arial"/>
          <w:sz w:val="24"/>
          <w:szCs w:val="24"/>
        </w:rPr>
        <w:t>1 16</w:t>
      </w:r>
      <w:r w:rsidR="001E73BB" w:rsidRPr="000B5123">
        <w:rPr>
          <w:rFonts w:ascii="Arial" w:hAnsi="Arial" w:cs="Arial"/>
          <w:sz w:val="24"/>
          <w:szCs w:val="24"/>
        </w:rPr>
        <w:t>6</w:t>
      </w:r>
      <w:r w:rsidR="00863C61" w:rsidRPr="000B5123">
        <w:rPr>
          <w:rFonts w:ascii="Arial" w:hAnsi="Arial" w:cs="Arial"/>
          <w:sz w:val="24"/>
          <w:szCs w:val="24"/>
        </w:rPr>
        <w:t xml:space="preserve"> K€ regroupant les biens immobiliers détenus à </w:t>
      </w:r>
      <w:r w:rsidR="00E74F77" w:rsidRPr="000B5123">
        <w:rPr>
          <w:rFonts w:ascii="Arial" w:hAnsi="Arial" w:cs="Arial"/>
          <w:sz w:val="24"/>
          <w:szCs w:val="24"/>
        </w:rPr>
        <w:t>l</w:t>
      </w:r>
      <w:r w:rsidR="00863C61" w:rsidRPr="000B5123">
        <w:rPr>
          <w:rFonts w:ascii="Arial" w:hAnsi="Arial" w:cs="Arial"/>
          <w:sz w:val="24"/>
          <w:szCs w:val="24"/>
        </w:rPr>
        <w:t xml:space="preserve">a suite de legs </w:t>
      </w:r>
      <w:r w:rsidR="00E74F77" w:rsidRPr="000B5123">
        <w:rPr>
          <w:rFonts w:ascii="Arial" w:hAnsi="Arial" w:cs="Arial"/>
          <w:sz w:val="24"/>
          <w:szCs w:val="24"/>
        </w:rPr>
        <w:t xml:space="preserve">et en cours de vente. </w:t>
      </w:r>
      <w:r w:rsidRPr="000B5123">
        <w:rPr>
          <w:rFonts w:ascii="Arial" w:hAnsi="Arial" w:cs="Arial"/>
          <w:sz w:val="24"/>
          <w:szCs w:val="24"/>
        </w:rPr>
        <w:t xml:space="preserve">Les investissements réalisés </w:t>
      </w:r>
      <w:r w:rsidR="00163373" w:rsidRPr="000B5123">
        <w:rPr>
          <w:rFonts w:ascii="Arial" w:hAnsi="Arial" w:cs="Arial"/>
          <w:sz w:val="24"/>
          <w:szCs w:val="24"/>
        </w:rPr>
        <w:t xml:space="preserve">en </w:t>
      </w:r>
      <w:r w:rsidR="00A36515" w:rsidRPr="000B5123">
        <w:rPr>
          <w:rFonts w:ascii="Arial" w:hAnsi="Arial" w:cs="Arial"/>
          <w:sz w:val="24"/>
          <w:szCs w:val="24"/>
        </w:rPr>
        <w:t>202</w:t>
      </w:r>
      <w:r w:rsidR="008D1F8C" w:rsidRPr="000B5123">
        <w:rPr>
          <w:rFonts w:ascii="Arial" w:hAnsi="Arial" w:cs="Arial"/>
          <w:sz w:val="24"/>
          <w:szCs w:val="24"/>
        </w:rPr>
        <w:t>3</w:t>
      </w:r>
      <w:r w:rsidR="00A36515" w:rsidRPr="000B5123">
        <w:rPr>
          <w:rFonts w:ascii="Arial" w:hAnsi="Arial" w:cs="Arial"/>
          <w:sz w:val="24"/>
          <w:szCs w:val="24"/>
        </w:rPr>
        <w:t xml:space="preserve"> (</w:t>
      </w:r>
      <w:r w:rsidR="00D75AC7" w:rsidRPr="000B5123">
        <w:rPr>
          <w:rFonts w:ascii="Arial" w:hAnsi="Arial" w:cs="Arial"/>
          <w:sz w:val="24"/>
          <w:szCs w:val="24"/>
        </w:rPr>
        <w:t xml:space="preserve">3 </w:t>
      </w:r>
      <w:r w:rsidR="007314CE" w:rsidRPr="000B5123">
        <w:rPr>
          <w:rFonts w:ascii="Arial" w:hAnsi="Arial" w:cs="Arial"/>
          <w:sz w:val="24"/>
          <w:szCs w:val="24"/>
        </w:rPr>
        <w:t>901</w:t>
      </w:r>
      <w:r w:rsidR="00A36515" w:rsidRPr="000B5123">
        <w:rPr>
          <w:rFonts w:ascii="Arial" w:hAnsi="Arial" w:cs="Arial"/>
          <w:sz w:val="24"/>
          <w:szCs w:val="24"/>
        </w:rPr>
        <w:t xml:space="preserve"> K€)</w:t>
      </w:r>
      <w:r w:rsidRPr="000B5123">
        <w:rPr>
          <w:rFonts w:ascii="Arial" w:hAnsi="Arial" w:cs="Arial"/>
          <w:sz w:val="24"/>
          <w:szCs w:val="24"/>
        </w:rPr>
        <w:t xml:space="preserve"> </w:t>
      </w:r>
      <w:r w:rsidR="00163373" w:rsidRPr="000B5123">
        <w:rPr>
          <w:rFonts w:ascii="Arial" w:hAnsi="Arial" w:cs="Arial"/>
          <w:sz w:val="24"/>
          <w:szCs w:val="24"/>
        </w:rPr>
        <w:t xml:space="preserve">concernent </w:t>
      </w:r>
      <w:r w:rsidR="00CF4D0D" w:rsidRPr="000B5123">
        <w:rPr>
          <w:rFonts w:ascii="Arial" w:hAnsi="Arial" w:cs="Arial"/>
          <w:sz w:val="24"/>
          <w:szCs w:val="24"/>
        </w:rPr>
        <w:t>l</w:t>
      </w:r>
      <w:r w:rsidR="008D1F8C" w:rsidRPr="000B5123">
        <w:rPr>
          <w:rFonts w:ascii="Arial" w:hAnsi="Arial" w:cs="Arial"/>
          <w:sz w:val="24"/>
          <w:szCs w:val="24"/>
        </w:rPr>
        <w:t>es travaux de mise en conformité des bâtiments du siège social rue Duroc à Paris (1 766 K€) qui viennent gonfler les immobilisations en cours</w:t>
      </w:r>
      <w:r w:rsidR="00DB4318" w:rsidRPr="000B5123">
        <w:rPr>
          <w:rFonts w:ascii="Arial" w:hAnsi="Arial" w:cs="Arial"/>
          <w:sz w:val="24"/>
          <w:szCs w:val="24"/>
        </w:rPr>
        <w:t xml:space="preserve">. Les investissements dans les établissements sont significatifs (957 K€, dont </w:t>
      </w:r>
      <w:r w:rsidR="00625713" w:rsidRPr="000B5123">
        <w:rPr>
          <w:rFonts w:ascii="Arial" w:hAnsi="Arial" w:cs="Arial"/>
          <w:sz w:val="24"/>
          <w:szCs w:val="24"/>
        </w:rPr>
        <w:t>437</w:t>
      </w:r>
      <w:r w:rsidR="00DB4318" w:rsidRPr="000B5123">
        <w:rPr>
          <w:rFonts w:ascii="Arial" w:hAnsi="Arial" w:cs="Arial"/>
          <w:sz w:val="24"/>
          <w:szCs w:val="24"/>
        </w:rPr>
        <w:t xml:space="preserve"> K€ pour l’I</w:t>
      </w:r>
      <w:r w:rsidR="00404C31">
        <w:rPr>
          <w:rFonts w:ascii="Arial" w:hAnsi="Arial" w:cs="Arial"/>
          <w:sz w:val="24"/>
          <w:szCs w:val="24"/>
        </w:rPr>
        <w:t>MP</w:t>
      </w:r>
      <w:r w:rsidR="00DB4318" w:rsidRPr="000B5123">
        <w:rPr>
          <w:rFonts w:ascii="Arial" w:hAnsi="Arial" w:cs="Arial"/>
          <w:sz w:val="24"/>
          <w:szCs w:val="24"/>
        </w:rPr>
        <w:t xml:space="preserve">ro, 147 K€ pour </w:t>
      </w:r>
    </w:p>
    <w:p w14:paraId="42698729" w14:textId="398F7929" w:rsidR="006002D0" w:rsidRPr="000B5123" w:rsidRDefault="00DB4318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O.</w:t>
      </w:r>
      <w:r w:rsidR="00303939" w:rsidRPr="000B512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5123">
        <w:rPr>
          <w:rFonts w:ascii="Arial" w:hAnsi="Arial" w:cs="Arial"/>
          <w:sz w:val="24"/>
          <w:szCs w:val="24"/>
        </w:rPr>
        <w:t>Witkowska</w:t>
      </w:r>
      <w:proofErr w:type="spellEnd"/>
      <w:r w:rsidRPr="000B5123">
        <w:rPr>
          <w:rFonts w:ascii="Arial" w:hAnsi="Arial" w:cs="Arial"/>
          <w:sz w:val="24"/>
          <w:szCs w:val="24"/>
        </w:rPr>
        <w:t xml:space="preserve"> social, </w:t>
      </w:r>
      <w:r w:rsidR="00625713" w:rsidRPr="000B5123">
        <w:rPr>
          <w:rFonts w:ascii="Arial" w:hAnsi="Arial" w:cs="Arial"/>
          <w:sz w:val="24"/>
          <w:szCs w:val="24"/>
        </w:rPr>
        <w:t xml:space="preserve">112 K€ pour </w:t>
      </w:r>
      <w:proofErr w:type="spellStart"/>
      <w:r w:rsidR="00625713" w:rsidRPr="000B5123">
        <w:rPr>
          <w:rFonts w:ascii="Arial" w:hAnsi="Arial" w:cs="Arial"/>
          <w:sz w:val="24"/>
          <w:szCs w:val="24"/>
        </w:rPr>
        <w:t>Escolore</w:t>
      </w:r>
      <w:proofErr w:type="spellEnd"/>
      <w:r w:rsidR="00625713" w:rsidRPr="000B5123">
        <w:rPr>
          <w:rFonts w:ascii="Arial" w:hAnsi="Arial" w:cs="Arial"/>
          <w:sz w:val="24"/>
          <w:szCs w:val="24"/>
        </w:rPr>
        <w:t xml:space="preserve"> social, 93 K€ pour OW Production, 73 K€ pour l’EA La Villette, 53</w:t>
      </w:r>
      <w:r w:rsidRPr="000B5123">
        <w:rPr>
          <w:rFonts w:ascii="Arial" w:hAnsi="Arial" w:cs="Arial"/>
          <w:sz w:val="24"/>
          <w:szCs w:val="24"/>
        </w:rPr>
        <w:t xml:space="preserve"> K€ pour le CFRP).</w:t>
      </w:r>
      <w:r w:rsidR="00625713" w:rsidRPr="000B5123">
        <w:rPr>
          <w:rFonts w:ascii="Arial" w:hAnsi="Arial" w:cs="Arial"/>
          <w:sz w:val="24"/>
          <w:szCs w:val="24"/>
        </w:rPr>
        <w:t xml:space="preserve"> Les investissements dans les comités (</w:t>
      </w:r>
      <w:r w:rsidR="007314CE" w:rsidRPr="000B5123">
        <w:rPr>
          <w:rFonts w:ascii="Arial" w:hAnsi="Arial" w:cs="Arial"/>
          <w:sz w:val="24"/>
          <w:szCs w:val="24"/>
        </w:rPr>
        <w:t>7</w:t>
      </w:r>
      <w:r w:rsidR="00625713" w:rsidRPr="000B5123">
        <w:rPr>
          <w:rFonts w:ascii="Arial" w:hAnsi="Arial" w:cs="Arial"/>
          <w:sz w:val="24"/>
          <w:szCs w:val="24"/>
        </w:rPr>
        <w:t xml:space="preserve">44 K€) concernent </w:t>
      </w:r>
      <w:r w:rsidR="007314CE" w:rsidRPr="000B5123">
        <w:rPr>
          <w:rFonts w:ascii="Arial" w:hAnsi="Arial" w:cs="Arial"/>
          <w:sz w:val="24"/>
          <w:szCs w:val="24"/>
        </w:rPr>
        <w:t xml:space="preserve">l’opération de dation en paiement (300 K€) et </w:t>
      </w:r>
      <w:r w:rsidR="00625713" w:rsidRPr="000B5123">
        <w:rPr>
          <w:rFonts w:ascii="Arial" w:hAnsi="Arial" w:cs="Arial"/>
          <w:sz w:val="24"/>
          <w:szCs w:val="24"/>
        </w:rPr>
        <w:t xml:space="preserve">des travaux de remise en état. Le </w:t>
      </w:r>
      <w:r w:rsidR="00241D22" w:rsidRPr="000B5123">
        <w:rPr>
          <w:rFonts w:ascii="Arial" w:hAnsi="Arial" w:cs="Arial"/>
          <w:sz w:val="24"/>
          <w:szCs w:val="24"/>
        </w:rPr>
        <w:t>Siège</w:t>
      </w:r>
      <w:r w:rsidR="00625713" w:rsidRPr="000B5123">
        <w:rPr>
          <w:rFonts w:ascii="Arial" w:hAnsi="Arial" w:cs="Arial"/>
          <w:sz w:val="24"/>
          <w:szCs w:val="24"/>
        </w:rPr>
        <w:t xml:space="preserve"> investit pour </w:t>
      </w:r>
      <w:r w:rsidR="007314CE" w:rsidRPr="000B5123">
        <w:rPr>
          <w:rFonts w:ascii="Arial" w:hAnsi="Arial" w:cs="Arial"/>
          <w:sz w:val="24"/>
          <w:szCs w:val="24"/>
        </w:rPr>
        <w:t>434</w:t>
      </w:r>
      <w:r w:rsidR="00625713" w:rsidRPr="000B5123">
        <w:rPr>
          <w:rFonts w:ascii="Arial" w:hAnsi="Arial" w:cs="Arial"/>
          <w:sz w:val="24"/>
          <w:szCs w:val="24"/>
        </w:rPr>
        <w:t xml:space="preserve"> K€</w:t>
      </w:r>
      <w:r w:rsidR="00241D22" w:rsidRPr="000B5123">
        <w:rPr>
          <w:rFonts w:ascii="Arial" w:hAnsi="Arial" w:cs="Arial"/>
          <w:sz w:val="24"/>
          <w:szCs w:val="24"/>
        </w:rPr>
        <w:t xml:space="preserve">, </w:t>
      </w:r>
      <w:r w:rsidR="002E6479" w:rsidRPr="000B5123">
        <w:rPr>
          <w:rFonts w:ascii="Arial" w:hAnsi="Arial" w:cs="Arial"/>
          <w:sz w:val="24"/>
          <w:szCs w:val="24"/>
        </w:rPr>
        <w:t xml:space="preserve">dont </w:t>
      </w:r>
      <w:r w:rsidR="007314CE" w:rsidRPr="000B5123">
        <w:rPr>
          <w:rFonts w:ascii="Arial" w:hAnsi="Arial" w:cs="Arial"/>
          <w:sz w:val="24"/>
          <w:szCs w:val="24"/>
        </w:rPr>
        <w:t xml:space="preserve">des dépenses pour </w:t>
      </w:r>
      <w:r w:rsidR="002E6479" w:rsidRPr="000B5123">
        <w:rPr>
          <w:rFonts w:ascii="Arial" w:hAnsi="Arial" w:cs="Arial"/>
          <w:sz w:val="24"/>
          <w:szCs w:val="24"/>
        </w:rPr>
        <w:t>la mise en service d’un nouveau site institutionnel (119 K€),</w:t>
      </w:r>
      <w:r w:rsidR="007314CE" w:rsidRPr="000B5123">
        <w:rPr>
          <w:rFonts w:ascii="Arial" w:hAnsi="Arial" w:cs="Arial"/>
          <w:sz w:val="24"/>
          <w:szCs w:val="24"/>
        </w:rPr>
        <w:t xml:space="preserve"> les investissements informatiques (69 K€), </w:t>
      </w:r>
      <w:r w:rsidR="002E6479" w:rsidRPr="000B5123">
        <w:rPr>
          <w:rFonts w:ascii="Arial" w:hAnsi="Arial" w:cs="Arial"/>
          <w:sz w:val="24"/>
          <w:szCs w:val="24"/>
        </w:rPr>
        <w:t>la modernisation de la cha</w:t>
      </w:r>
      <w:r w:rsidR="00191D87">
        <w:rPr>
          <w:rFonts w:ascii="Arial" w:hAnsi="Arial" w:cs="Arial"/>
          <w:sz w:val="24"/>
          <w:szCs w:val="24"/>
        </w:rPr>
        <w:t>î</w:t>
      </w:r>
      <w:r w:rsidR="002E6479" w:rsidRPr="000B5123">
        <w:rPr>
          <w:rFonts w:ascii="Arial" w:hAnsi="Arial" w:cs="Arial"/>
          <w:sz w:val="24"/>
          <w:szCs w:val="24"/>
        </w:rPr>
        <w:t xml:space="preserve">ne de production des livres numériques (67 K€), </w:t>
      </w:r>
      <w:r w:rsidR="00234836" w:rsidRPr="000B5123">
        <w:rPr>
          <w:rFonts w:ascii="Arial" w:hAnsi="Arial" w:cs="Arial"/>
          <w:sz w:val="24"/>
          <w:szCs w:val="24"/>
        </w:rPr>
        <w:t xml:space="preserve">l’application Eole pour les enceintes connectées (46 K€), </w:t>
      </w:r>
      <w:r w:rsidR="002E6479" w:rsidRPr="000B5123">
        <w:rPr>
          <w:rFonts w:ascii="Arial" w:hAnsi="Arial" w:cs="Arial"/>
          <w:sz w:val="24"/>
          <w:szCs w:val="24"/>
        </w:rPr>
        <w:t xml:space="preserve">des travaux et agencements dans le centre résidentiel </w:t>
      </w:r>
      <w:r w:rsidR="001A791D">
        <w:rPr>
          <w:rFonts w:ascii="Arial" w:hAnsi="Arial" w:cs="Arial"/>
          <w:sz w:val="24"/>
          <w:szCs w:val="24"/>
        </w:rPr>
        <w:br/>
      </w:r>
      <w:r w:rsidR="002E6479" w:rsidRPr="000B5123">
        <w:rPr>
          <w:rFonts w:ascii="Arial" w:hAnsi="Arial" w:cs="Arial"/>
          <w:sz w:val="24"/>
          <w:szCs w:val="24"/>
        </w:rPr>
        <w:t xml:space="preserve">(66 K€). </w:t>
      </w:r>
    </w:p>
    <w:p w14:paraId="4F486FAF" w14:textId="77777777" w:rsidR="005A5708" w:rsidRDefault="00894117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b/>
          <w:sz w:val="24"/>
          <w:szCs w:val="24"/>
        </w:rPr>
        <w:t>L</w:t>
      </w:r>
      <w:r w:rsidR="00EC7818" w:rsidRPr="000B5123">
        <w:rPr>
          <w:rFonts w:ascii="Arial" w:hAnsi="Arial" w:cs="Arial"/>
          <w:b/>
          <w:sz w:val="24"/>
          <w:szCs w:val="24"/>
        </w:rPr>
        <w:t xml:space="preserve">es stocks et les créances </w:t>
      </w:r>
      <w:r w:rsidR="00EC7818" w:rsidRPr="000B5123">
        <w:rPr>
          <w:rFonts w:ascii="Arial" w:hAnsi="Arial" w:cs="Arial"/>
          <w:bCs/>
          <w:sz w:val="24"/>
          <w:szCs w:val="24"/>
        </w:rPr>
        <w:t>s’établissent</w:t>
      </w:r>
      <w:r w:rsidR="00CC24B7" w:rsidRPr="000B5123">
        <w:rPr>
          <w:rFonts w:ascii="Arial" w:hAnsi="Arial" w:cs="Arial"/>
          <w:sz w:val="24"/>
          <w:szCs w:val="24"/>
        </w:rPr>
        <w:t xml:space="preserve">, en ajoutant </w:t>
      </w:r>
      <w:r w:rsidRPr="000B5123">
        <w:rPr>
          <w:rFonts w:ascii="Arial" w:hAnsi="Arial" w:cs="Arial"/>
          <w:sz w:val="24"/>
          <w:szCs w:val="24"/>
        </w:rPr>
        <w:t xml:space="preserve">les </w:t>
      </w:r>
      <w:r w:rsidR="00CC24B7" w:rsidRPr="000B5123">
        <w:rPr>
          <w:rFonts w:ascii="Arial" w:hAnsi="Arial" w:cs="Arial"/>
          <w:sz w:val="24"/>
          <w:szCs w:val="24"/>
        </w:rPr>
        <w:t xml:space="preserve">charges constatées </w:t>
      </w:r>
      <w:r w:rsidR="00623820" w:rsidRPr="000B5123">
        <w:rPr>
          <w:rFonts w:ascii="Arial" w:hAnsi="Arial" w:cs="Arial"/>
          <w:sz w:val="24"/>
          <w:szCs w:val="24"/>
        </w:rPr>
        <w:t>d’avance, à</w:t>
      </w:r>
      <w:r w:rsidRPr="000B5123">
        <w:rPr>
          <w:rFonts w:ascii="Arial" w:hAnsi="Arial" w:cs="Arial"/>
          <w:sz w:val="24"/>
          <w:szCs w:val="24"/>
        </w:rPr>
        <w:t xml:space="preserve"> </w:t>
      </w:r>
    </w:p>
    <w:p w14:paraId="27BB651A" w14:textId="77777777" w:rsidR="001A791D" w:rsidRDefault="002E6479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8 995 K€ contre </w:t>
      </w:r>
      <w:r w:rsidR="001E73BB" w:rsidRPr="000B5123">
        <w:rPr>
          <w:rFonts w:ascii="Arial" w:hAnsi="Arial" w:cs="Arial"/>
          <w:sz w:val="24"/>
          <w:szCs w:val="24"/>
        </w:rPr>
        <w:t>7 161</w:t>
      </w:r>
      <w:r w:rsidR="00670120" w:rsidRPr="000B5123">
        <w:rPr>
          <w:rFonts w:ascii="Arial" w:hAnsi="Arial" w:cs="Arial"/>
          <w:sz w:val="24"/>
          <w:szCs w:val="24"/>
        </w:rPr>
        <w:t xml:space="preserve"> K€ </w:t>
      </w:r>
      <w:r w:rsidR="000D3489" w:rsidRPr="000B5123">
        <w:rPr>
          <w:rFonts w:ascii="Arial" w:hAnsi="Arial" w:cs="Arial"/>
          <w:sz w:val="24"/>
          <w:szCs w:val="24"/>
        </w:rPr>
        <w:t>fin 20</w:t>
      </w:r>
      <w:r w:rsidR="007D00DB" w:rsidRPr="000B5123">
        <w:rPr>
          <w:rFonts w:ascii="Arial" w:hAnsi="Arial" w:cs="Arial"/>
          <w:sz w:val="24"/>
          <w:szCs w:val="24"/>
        </w:rPr>
        <w:t>2</w:t>
      </w:r>
      <w:r w:rsidRPr="000B5123">
        <w:rPr>
          <w:rFonts w:ascii="Arial" w:hAnsi="Arial" w:cs="Arial"/>
          <w:sz w:val="24"/>
          <w:szCs w:val="24"/>
        </w:rPr>
        <w:t>2</w:t>
      </w:r>
      <w:r w:rsidR="000D3489" w:rsidRPr="000B5123">
        <w:rPr>
          <w:rFonts w:ascii="Arial" w:hAnsi="Arial" w:cs="Arial"/>
          <w:sz w:val="24"/>
          <w:szCs w:val="24"/>
        </w:rPr>
        <w:t xml:space="preserve">. </w:t>
      </w:r>
      <w:r w:rsidR="007D00DB" w:rsidRPr="000B5123">
        <w:rPr>
          <w:rFonts w:ascii="Arial" w:hAnsi="Arial" w:cs="Arial"/>
          <w:sz w:val="24"/>
          <w:szCs w:val="24"/>
        </w:rPr>
        <w:t xml:space="preserve">La </w:t>
      </w:r>
      <w:r w:rsidR="000D3489" w:rsidRPr="000B5123">
        <w:rPr>
          <w:rFonts w:ascii="Arial" w:hAnsi="Arial" w:cs="Arial"/>
          <w:sz w:val="24"/>
          <w:szCs w:val="24"/>
        </w:rPr>
        <w:t>ligne</w:t>
      </w:r>
      <w:r w:rsidR="007D00DB" w:rsidRPr="000B5123">
        <w:rPr>
          <w:rFonts w:ascii="Arial" w:hAnsi="Arial" w:cs="Arial"/>
          <w:sz w:val="24"/>
          <w:szCs w:val="24"/>
        </w:rPr>
        <w:t> :</w:t>
      </w:r>
      <w:r w:rsidR="000D3489" w:rsidRPr="000B5123">
        <w:rPr>
          <w:rFonts w:ascii="Arial" w:hAnsi="Arial" w:cs="Arial"/>
          <w:sz w:val="24"/>
          <w:szCs w:val="24"/>
        </w:rPr>
        <w:t xml:space="preserve"> « Créances reçues par legs » correspondant aux espèces, actifs bancaires, assurances-vie à recevoir</w:t>
      </w:r>
      <w:r w:rsidR="007D00DB" w:rsidRPr="000B5123">
        <w:rPr>
          <w:rFonts w:ascii="Arial" w:hAnsi="Arial" w:cs="Arial"/>
          <w:sz w:val="24"/>
          <w:szCs w:val="24"/>
        </w:rPr>
        <w:t xml:space="preserve"> s’élève à </w:t>
      </w:r>
      <w:r w:rsidR="00C1137C" w:rsidRPr="000B5123">
        <w:rPr>
          <w:rFonts w:ascii="Arial" w:hAnsi="Arial" w:cs="Arial"/>
          <w:sz w:val="24"/>
          <w:szCs w:val="24"/>
        </w:rPr>
        <w:t xml:space="preserve">2 599 K€ contre </w:t>
      </w:r>
    </w:p>
    <w:p w14:paraId="6C6117DF" w14:textId="12E217D1" w:rsidR="00894117" w:rsidRPr="000B5123" w:rsidRDefault="00670120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1 699 K€ </w:t>
      </w:r>
      <w:r w:rsidR="007D00DB" w:rsidRPr="000B5123">
        <w:rPr>
          <w:rFonts w:ascii="Arial" w:hAnsi="Arial" w:cs="Arial"/>
          <w:sz w:val="24"/>
          <w:szCs w:val="24"/>
        </w:rPr>
        <w:t>fin 202</w:t>
      </w:r>
      <w:r w:rsidR="00C1137C" w:rsidRPr="000B5123">
        <w:rPr>
          <w:rFonts w:ascii="Arial" w:hAnsi="Arial" w:cs="Arial"/>
          <w:sz w:val="24"/>
          <w:szCs w:val="24"/>
        </w:rPr>
        <w:t>2</w:t>
      </w:r>
      <w:r w:rsidR="007D00DB" w:rsidRPr="000B5123">
        <w:rPr>
          <w:rFonts w:ascii="Arial" w:hAnsi="Arial" w:cs="Arial"/>
          <w:sz w:val="24"/>
          <w:szCs w:val="24"/>
        </w:rPr>
        <w:t>.</w:t>
      </w:r>
      <w:r w:rsidR="000D3489" w:rsidRPr="000B5123">
        <w:rPr>
          <w:rFonts w:ascii="Arial" w:hAnsi="Arial" w:cs="Arial"/>
          <w:sz w:val="24"/>
          <w:szCs w:val="24"/>
        </w:rPr>
        <w:t xml:space="preserve"> </w:t>
      </w:r>
      <w:r w:rsidR="00894117" w:rsidRPr="000B5123">
        <w:rPr>
          <w:rFonts w:ascii="Arial" w:hAnsi="Arial" w:cs="Arial"/>
          <w:sz w:val="24"/>
          <w:szCs w:val="24"/>
        </w:rPr>
        <w:t xml:space="preserve">Les stocks </w:t>
      </w:r>
      <w:r w:rsidR="00D75355" w:rsidRPr="000B5123">
        <w:rPr>
          <w:rFonts w:ascii="Arial" w:hAnsi="Arial" w:cs="Arial"/>
          <w:sz w:val="24"/>
          <w:szCs w:val="24"/>
        </w:rPr>
        <w:t xml:space="preserve">concernent pour </w:t>
      </w:r>
      <w:r w:rsidR="007D00DB" w:rsidRPr="000B5123">
        <w:rPr>
          <w:rFonts w:ascii="Arial" w:hAnsi="Arial" w:cs="Arial"/>
          <w:sz w:val="24"/>
          <w:szCs w:val="24"/>
        </w:rPr>
        <w:t xml:space="preserve">environ </w:t>
      </w:r>
      <w:r w:rsidR="00C1137C" w:rsidRPr="000B5123">
        <w:rPr>
          <w:rFonts w:ascii="Arial" w:hAnsi="Arial" w:cs="Arial"/>
          <w:sz w:val="24"/>
          <w:szCs w:val="24"/>
        </w:rPr>
        <w:t>8</w:t>
      </w:r>
      <w:r w:rsidR="001E73BB" w:rsidRPr="000B5123">
        <w:rPr>
          <w:rFonts w:ascii="Arial" w:hAnsi="Arial" w:cs="Arial"/>
          <w:sz w:val="24"/>
          <w:szCs w:val="24"/>
        </w:rPr>
        <w:t xml:space="preserve">0 </w:t>
      </w:r>
      <w:r w:rsidR="00D75355" w:rsidRPr="000B5123">
        <w:rPr>
          <w:rFonts w:ascii="Arial" w:hAnsi="Arial" w:cs="Arial"/>
          <w:sz w:val="24"/>
          <w:szCs w:val="24"/>
        </w:rPr>
        <w:t>% le Siège</w:t>
      </w:r>
      <w:r w:rsidR="00894117" w:rsidRPr="000B5123">
        <w:rPr>
          <w:rFonts w:ascii="Arial" w:hAnsi="Arial" w:cs="Arial"/>
          <w:sz w:val="24"/>
          <w:szCs w:val="24"/>
        </w:rPr>
        <w:t> (</w:t>
      </w:r>
      <w:r w:rsidR="00C1137C" w:rsidRPr="000B5123">
        <w:rPr>
          <w:rFonts w:ascii="Arial" w:hAnsi="Arial" w:cs="Arial"/>
          <w:sz w:val="24"/>
          <w:szCs w:val="24"/>
        </w:rPr>
        <w:t>588</w:t>
      </w:r>
      <w:r w:rsidR="00894117" w:rsidRPr="000B5123">
        <w:rPr>
          <w:rFonts w:ascii="Arial" w:hAnsi="Arial" w:cs="Arial"/>
          <w:sz w:val="24"/>
          <w:szCs w:val="24"/>
        </w:rPr>
        <w:t xml:space="preserve"> K€</w:t>
      </w:r>
      <w:r w:rsidR="007D00DB" w:rsidRPr="000B5123">
        <w:rPr>
          <w:rFonts w:ascii="Arial" w:hAnsi="Arial" w:cs="Arial"/>
          <w:sz w:val="24"/>
          <w:szCs w:val="24"/>
        </w:rPr>
        <w:t xml:space="preserve"> sur </w:t>
      </w:r>
      <w:r w:rsidR="00C1137C" w:rsidRPr="000B5123">
        <w:rPr>
          <w:rFonts w:ascii="Arial" w:hAnsi="Arial" w:cs="Arial"/>
          <w:sz w:val="24"/>
          <w:szCs w:val="24"/>
        </w:rPr>
        <w:t>716</w:t>
      </w:r>
      <w:r w:rsidR="007D00DB" w:rsidRPr="000B5123">
        <w:rPr>
          <w:rFonts w:ascii="Arial" w:hAnsi="Arial" w:cs="Arial"/>
          <w:sz w:val="24"/>
          <w:szCs w:val="24"/>
        </w:rPr>
        <w:t xml:space="preserve"> K€</w:t>
      </w:r>
      <w:r w:rsidR="00D75355" w:rsidRPr="000B5123">
        <w:rPr>
          <w:rFonts w:ascii="Arial" w:hAnsi="Arial" w:cs="Arial"/>
          <w:sz w:val="24"/>
          <w:szCs w:val="24"/>
        </w:rPr>
        <w:t xml:space="preserve">, l’essentiel </w:t>
      </w:r>
      <w:r w:rsidRPr="000B5123">
        <w:rPr>
          <w:rFonts w:ascii="Arial" w:hAnsi="Arial" w:cs="Arial"/>
          <w:sz w:val="24"/>
          <w:szCs w:val="24"/>
        </w:rPr>
        <w:t xml:space="preserve">attribué au </w:t>
      </w:r>
      <w:r w:rsidR="00050149" w:rsidRPr="000B5123">
        <w:rPr>
          <w:rFonts w:ascii="Arial" w:hAnsi="Arial" w:cs="Arial"/>
          <w:sz w:val="24"/>
          <w:szCs w:val="24"/>
        </w:rPr>
        <w:t>service</w:t>
      </w:r>
      <w:r w:rsidR="00894117" w:rsidRPr="000B5123">
        <w:rPr>
          <w:rFonts w:ascii="Arial" w:hAnsi="Arial" w:cs="Arial"/>
          <w:sz w:val="24"/>
          <w:szCs w:val="24"/>
        </w:rPr>
        <w:t xml:space="preserve"> d</w:t>
      </w:r>
      <w:r w:rsidR="00082D58" w:rsidRPr="000B5123">
        <w:rPr>
          <w:rFonts w:ascii="Arial" w:hAnsi="Arial" w:cs="Arial"/>
          <w:sz w:val="24"/>
          <w:szCs w:val="24"/>
        </w:rPr>
        <w:t>u</w:t>
      </w:r>
      <w:r w:rsidR="00894117" w:rsidRPr="000B5123">
        <w:rPr>
          <w:rFonts w:ascii="Arial" w:hAnsi="Arial" w:cs="Arial"/>
          <w:sz w:val="24"/>
          <w:szCs w:val="24"/>
        </w:rPr>
        <w:t xml:space="preserve"> matériel spécialisé). Les créances </w:t>
      </w:r>
      <w:r w:rsidR="00C1137C" w:rsidRPr="000B5123">
        <w:rPr>
          <w:rFonts w:ascii="Arial" w:hAnsi="Arial" w:cs="Arial"/>
          <w:sz w:val="24"/>
          <w:szCs w:val="24"/>
        </w:rPr>
        <w:t>c</w:t>
      </w:r>
      <w:r w:rsidR="00894117" w:rsidRPr="000B5123">
        <w:rPr>
          <w:rFonts w:ascii="Arial" w:hAnsi="Arial" w:cs="Arial"/>
          <w:sz w:val="24"/>
          <w:szCs w:val="24"/>
        </w:rPr>
        <w:t xml:space="preserve">lients </w:t>
      </w:r>
      <w:r w:rsidRPr="000B5123">
        <w:rPr>
          <w:rFonts w:ascii="Arial" w:hAnsi="Arial" w:cs="Arial"/>
          <w:sz w:val="24"/>
          <w:szCs w:val="24"/>
        </w:rPr>
        <w:t>augmentent à nouveau de</w:t>
      </w:r>
      <w:r w:rsidR="0065096E" w:rsidRPr="000B5123">
        <w:rPr>
          <w:rFonts w:ascii="Arial" w:hAnsi="Arial" w:cs="Arial"/>
          <w:sz w:val="24"/>
          <w:szCs w:val="24"/>
        </w:rPr>
        <w:t xml:space="preserve"> </w:t>
      </w:r>
      <w:r w:rsidR="00C1137C" w:rsidRPr="000B5123">
        <w:rPr>
          <w:rFonts w:ascii="Arial" w:hAnsi="Arial" w:cs="Arial"/>
          <w:sz w:val="24"/>
          <w:szCs w:val="24"/>
        </w:rPr>
        <w:t>1 026</w:t>
      </w:r>
      <w:r w:rsidR="00CC24B7" w:rsidRPr="000B5123">
        <w:rPr>
          <w:rFonts w:ascii="Arial" w:hAnsi="Arial" w:cs="Arial"/>
          <w:sz w:val="24"/>
          <w:szCs w:val="24"/>
        </w:rPr>
        <w:t xml:space="preserve"> K€ p</w:t>
      </w:r>
      <w:r w:rsidR="00894117" w:rsidRPr="000B5123">
        <w:rPr>
          <w:rFonts w:ascii="Arial" w:hAnsi="Arial" w:cs="Arial"/>
          <w:sz w:val="24"/>
          <w:szCs w:val="24"/>
        </w:rPr>
        <w:t xml:space="preserve">our se situer </w:t>
      </w:r>
      <w:r w:rsidR="007D00DB" w:rsidRPr="000B5123">
        <w:rPr>
          <w:rFonts w:ascii="Arial" w:hAnsi="Arial" w:cs="Arial"/>
          <w:sz w:val="24"/>
          <w:szCs w:val="24"/>
        </w:rPr>
        <w:t xml:space="preserve">à </w:t>
      </w:r>
      <w:r w:rsidR="00C1137C" w:rsidRPr="000B5123">
        <w:rPr>
          <w:rFonts w:ascii="Arial" w:hAnsi="Arial" w:cs="Arial"/>
          <w:sz w:val="24"/>
          <w:szCs w:val="24"/>
        </w:rPr>
        <w:t>4 306</w:t>
      </w:r>
      <w:r w:rsidR="00894117" w:rsidRPr="000B5123">
        <w:rPr>
          <w:rFonts w:ascii="Arial" w:hAnsi="Arial" w:cs="Arial"/>
          <w:sz w:val="24"/>
          <w:szCs w:val="24"/>
        </w:rPr>
        <w:t xml:space="preserve"> K€ (en valeur nette)</w:t>
      </w:r>
      <w:r w:rsidR="006002D0" w:rsidRPr="000B5123">
        <w:rPr>
          <w:rFonts w:ascii="Arial" w:hAnsi="Arial" w:cs="Arial"/>
          <w:sz w:val="24"/>
          <w:szCs w:val="24"/>
        </w:rPr>
        <w:t>, se répartissant entre</w:t>
      </w:r>
      <w:r w:rsidR="00894117" w:rsidRPr="000B5123">
        <w:rPr>
          <w:rFonts w:ascii="Arial" w:hAnsi="Arial" w:cs="Arial"/>
          <w:sz w:val="24"/>
          <w:szCs w:val="24"/>
        </w:rPr>
        <w:t xml:space="preserve"> </w:t>
      </w:r>
      <w:r w:rsidR="00C733E4" w:rsidRPr="000B5123">
        <w:rPr>
          <w:rFonts w:ascii="Arial" w:hAnsi="Arial" w:cs="Arial"/>
          <w:sz w:val="24"/>
          <w:szCs w:val="24"/>
        </w:rPr>
        <w:t xml:space="preserve">le </w:t>
      </w:r>
      <w:r w:rsidR="00894117" w:rsidRPr="000B5123">
        <w:rPr>
          <w:rFonts w:ascii="Arial" w:hAnsi="Arial" w:cs="Arial"/>
          <w:sz w:val="24"/>
          <w:szCs w:val="24"/>
        </w:rPr>
        <w:t xml:space="preserve">CFRP pour </w:t>
      </w:r>
      <w:r w:rsidR="00C1137C" w:rsidRPr="000B5123">
        <w:rPr>
          <w:rFonts w:ascii="Arial" w:hAnsi="Arial" w:cs="Arial"/>
          <w:sz w:val="24"/>
          <w:szCs w:val="24"/>
        </w:rPr>
        <w:t>2 142</w:t>
      </w:r>
      <w:r w:rsidRPr="000B5123">
        <w:rPr>
          <w:rFonts w:ascii="Arial" w:hAnsi="Arial" w:cs="Arial"/>
          <w:sz w:val="24"/>
          <w:szCs w:val="24"/>
        </w:rPr>
        <w:t xml:space="preserve"> </w:t>
      </w:r>
      <w:r w:rsidR="00894117" w:rsidRPr="000B5123">
        <w:rPr>
          <w:rFonts w:ascii="Arial" w:hAnsi="Arial" w:cs="Arial"/>
          <w:sz w:val="24"/>
          <w:szCs w:val="24"/>
        </w:rPr>
        <w:t xml:space="preserve">K€, </w:t>
      </w:r>
      <w:r w:rsidR="00C1137C" w:rsidRPr="000B5123">
        <w:rPr>
          <w:rFonts w:ascii="Arial" w:hAnsi="Arial" w:cs="Arial"/>
          <w:sz w:val="24"/>
          <w:szCs w:val="24"/>
        </w:rPr>
        <w:t>I</w:t>
      </w:r>
      <w:r w:rsidR="003275D6">
        <w:rPr>
          <w:rFonts w:ascii="Arial" w:hAnsi="Arial" w:cs="Arial"/>
          <w:sz w:val="24"/>
          <w:szCs w:val="24"/>
        </w:rPr>
        <w:t>MP</w:t>
      </w:r>
      <w:r w:rsidR="00C1137C" w:rsidRPr="000B5123">
        <w:rPr>
          <w:rFonts w:ascii="Arial" w:hAnsi="Arial" w:cs="Arial"/>
          <w:sz w:val="24"/>
          <w:szCs w:val="24"/>
        </w:rPr>
        <w:t xml:space="preserve">ro pour 532 K€, </w:t>
      </w:r>
      <w:r w:rsidR="00050149" w:rsidRPr="000B5123">
        <w:rPr>
          <w:rFonts w:ascii="Arial" w:hAnsi="Arial" w:cs="Arial"/>
          <w:sz w:val="24"/>
          <w:szCs w:val="24"/>
        </w:rPr>
        <w:t>O.</w:t>
      </w:r>
      <w:r w:rsidR="0077086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4117" w:rsidRPr="000B5123">
        <w:rPr>
          <w:rFonts w:ascii="Arial" w:hAnsi="Arial" w:cs="Arial"/>
          <w:sz w:val="24"/>
          <w:szCs w:val="24"/>
        </w:rPr>
        <w:t>Witkowska</w:t>
      </w:r>
      <w:proofErr w:type="spellEnd"/>
      <w:r w:rsidR="00894117" w:rsidRPr="000B5123">
        <w:rPr>
          <w:rFonts w:ascii="Arial" w:hAnsi="Arial" w:cs="Arial"/>
          <w:sz w:val="24"/>
          <w:szCs w:val="24"/>
        </w:rPr>
        <w:t xml:space="preserve"> (Foyers et Production) pour </w:t>
      </w:r>
      <w:r w:rsidR="001A791D">
        <w:rPr>
          <w:rFonts w:ascii="Arial" w:hAnsi="Arial" w:cs="Arial"/>
          <w:sz w:val="24"/>
          <w:szCs w:val="24"/>
        </w:rPr>
        <w:br/>
      </w:r>
      <w:r w:rsidR="00C1137C" w:rsidRPr="000B5123">
        <w:rPr>
          <w:rFonts w:ascii="Arial" w:hAnsi="Arial" w:cs="Arial"/>
          <w:sz w:val="24"/>
          <w:szCs w:val="24"/>
        </w:rPr>
        <w:t>489</w:t>
      </w:r>
      <w:r w:rsidR="00D75355" w:rsidRPr="000B5123">
        <w:rPr>
          <w:rFonts w:ascii="Arial" w:hAnsi="Arial" w:cs="Arial"/>
          <w:sz w:val="24"/>
          <w:szCs w:val="24"/>
        </w:rPr>
        <w:t xml:space="preserve"> </w:t>
      </w:r>
      <w:r w:rsidR="00894117" w:rsidRPr="000B5123">
        <w:rPr>
          <w:rFonts w:ascii="Arial" w:hAnsi="Arial" w:cs="Arial"/>
          <w:sz w:val="24"/>
          <w:szCs w:val="24"/>
        </w:rPr>
        <w:t>K€,</w:t>
      </w:r>
      <w:r w:rsidR="00050149" w:rsidRPr="000B51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0149" w:rsidRPr="000B5123">
        <w:rPr>
          <w:rFonts w:ascii="Arial" w:hAnsi="Arial" w:cs="Arial"/>
          <w:sz w:val="24"/>
          <w:szCs w:val="24"/>
        </w:rPr>
        <w:t>Escolore</w:t>
      </w:r>
      <w:proofErr w:type="spellEnd"/>
      <w:r w:rsidR="00050149" w:rsidRPr="000B5123">
        <w:rPr>
          <w:rFonts w:ascii="Arial" w:hAnsi="Arial" w:cs="Arial"/>
          <w:sz w:val="24"/>
          <w:szCs w:val="24"/>
        </w:rPr>
        <w:t xml:space="preserve"> (Foyer et Production) pour </w:t>
      </w:r>
      <w:r w:rsidR="00C1137C" w:rsidRPr="000B5123">
        <w:rPr>
          <w:rFonts w:ascii="Arial" w:hAnsi="Arial" w:cs="Arial"/>
          <w:sz w:val="24"/>
          <w:szCs w:val="24"/>
        </w:rPr>
        <w:t>426</w:t>
      </w:r>
      <w:r w:rsidR="00050149" w:rsidRPr="000B5123">
        <w:rPr>
          <w:rFonts w:ascii="Arial" w:hAnsi="Arial" w:cs="Arial"/>
          <w:sz w:val="24"/>
          <w:szCs w:val="24"/>
        </w:rPr>
        <w:t xml:space="preserve"> K€, </w:t>
      </w:r>
      <w:r w:rsidR="002273F7" w:rsidRPr="000B5123">
        <w:rPr>
          <w:rFonts w:ascii="Arial" w:hAnsi="Arial" w:cs="Arial"/>
          <w:sz w:val="24"/>
          <w:szCs w:val="24"/>
        </w:rPr>
        <w:t>l’</w:t>
      </w:r>
      <w:r w:rsidR="00C1137C" w:rsidRPr="000B5123">
        <w:rPr>
          <w:rFonts w:ascii="Arial" w:hAnsi="Arial" w:cs="Arial"/>
          <w:sz w:val="24"/>
          <w:szCs w:val="24"/>
        </w:rPr>
        <w:t xml:space="preserve">ESAT OW pour 325 K€, </w:t>
      </w:r>
      <w:r w:rsidR="00894117" w:rsidRPr="000B5123">
        <w:rPr>
          <w:rFonts w:ascii="Arial" w:hAnsi="Arial" w:cs="Arial"/>
          <w:sz w:val="24"/>
          <w:szCs w:val="24"/>
        </w:rPr>
        <w:t xml:space="preserve">EA </w:t>
      </w:r>
      <w:r w:rsidR="00050149" w:rsidRPr="000B5123">
        <w:rPr>
          <w:rFonts w:ascii="Arial" w:hAnsi="Arial" w:cs="Arial"/>
          <w:sz w:val="24"/>
          <w:szCs w:val="24"/>
        </w:rPr>
        <w:t xml:space="preserve">La </w:t>
      </w:r>
      <w:r w:rsidR="00894117" w:rsidRPr="000B5123">
        <w:rPr>
          <w:rFonts w:ascii="Arial" w:hAnsi="Arial" w:cs="Arial"/>
          <w:sz w:val="24"/>
          <w:szCs w:val="24"/>
        </w:rPr>
        <w:t xml:space="preserve">Villette pour </w:t>
      </w:r>
      <w:r w:rsidR="00C1137C" w:rsidRPr="000B5123">
        <w:rPr>
          <w:rFonts w:ascii="Arial" w:hAnsi="Arial" w:cs="Arial"/>
          <w:sz w:val="24"/>
          <w:szCs w:val="24"/>
        </w:rPr>
        <w:t>276</w:t>
      </w:r>
      <w:r w:rsidR="00894117" w:rsidRPr="000B5123">
        <w:rPr>
          <w:rFonts w:ascii="Arial" w:hAnsi="Arial" w:cs="Arial"/>
          <w:sz w:val="24"/>
          <w:szCs w:val="24"/>
        </w:rPr>
        <w:t xml:space="preserve"> K€, le Siège pour </w:t>
      </w:r>
      <w:r w:rsidR="00D75355" w:rsidRPr="000B5123">
        <w:rPr>
          <w:rFonts w:ascii="Arial" w:hAnsi="Arial" w:cs="Arial"/>
          <w:sz w:val="24"/>
          <w:szCs w:val="24"/>
        </w:rPr>
        <w:t>1</w:t>
      </w:r>
      <w:r w:rsidR="00C1137C" w:rsidRPr="000B5123">
        <w:rPr>
          <w:rFonts w:ascii="Arial" w:hAnsi="Arial" w:cs="Arial"/>
          <w:sz w:val="24"/>
          <w:szCs w:val="24"/>
        </w:rPr>
        <w:t>92</w:t>
      </w:r>
      <w:r w:rsidR="00894117" w:rsidRPr="000B5123">
        <w:rPr>
          <w:rFonts w:ascii="Arial" w:hAnsi="Arial" w:cs="Arial"/>
          <w:sz w:val="24"/>
          <w:szCs w:val="24"/>
        </w:rPr>
        <w:t xml:space="preserve"> K€</w:t>
      </w:r>
      <w:r w:rsidR="002273F7" w:rsidRPr="000B5123">
        <w:rPr>
          <w:rFonts w:ascii="Arial" w:hAnsi="Arial" w:cs="Arial"/>
          <w:sz w:val="24"/>
          <w:szCs w:val="24"/>
        </w:rPr>
        <w:t xml:space="preserve">, l’ESAT </w:t>
      </w:r>
      <w:proofErr w:type="spellStart"/>
      <w:r w:rsidR="002273F7" w:rsidRPr="000B5123">
        <w:rPr>
          <w:rFonts w:ascii="Arial" w:hAnsi="Arial" w:cs="Arial"/>
          <w:sz w:val="24"/>
          <w:szCs w:val="24"/>
        </w:rPr>
        <w:t>Escolore</w:t>
      </w:r>
      <w:proofErr w:type="spellEnd"/>
      <w:r w:rsidR="002273F7" w:rsidRPr="000B5123">
        <w:rPr>
          <w:rFonts w:ascii="Arial" w:hAnsi="Arial" w:cs="Arial"/>
          <w:sz w:val="24"/>
          <w:szCs w:val="24"/>
        </w:rPr>
        <w:t xml:space="preserve"> pour 80 K€ </w:t>
      </w:r>
      <w:r w:rsidR="006002D0" w:rsidRPr="000B5123">
        <w:rPr>
          <w:rFonts w:ascii="Arial" w:hAnsi="Arial" w:cs="Arial"/>
          <w:sz w:val="24"/>
          <w:szCs w:val="24"/>
        </w:rPr>
        <w:t xml:space="preserve">et le CDTD pour </w:t>
      </w:r>
      <w:r w:rsidR="001A791D">
        <w:rPr>
          <w:rFonts w:ascii="Arial" w:hAnsi="Arial" w:cs="Arial"/>
          <w:sz w:val="24"/>
          <w:szCs w:val="24"/>
        </w:rPr>
        <w:br/>
      </w:r>
      <w:r w:rsidR="00C1137C" w:rsidRPr="000B5123">
        <w:rPr>
          <w:rFonts w:ascii="Arial" w:hAnsi="Arial" w:cs="Arial"/>
          <w:sz w:val="24"/>
          <w:szCs w:val="24"/>
        </w:rPr>
        <w:t>7</w:t>
      </w:r>
      <w:r w:rsidR="006002D0" w:rsidRPr="000B5123">
        <w:rPr>
          <w:rFonts w:ascii="Arial" w:hAnsi="Arial" w:cs="Arial"/>
          <w:sz w:val="24"/>
          <w:szCs w:val="24"/>
        </w:rPr>
        <w:t xml:space="preserve"> K€</w:t>
      </w:r>
      <w:r w:rsidR="00894117" w:rsidRPr="000B5123">
        <w:rPr>
          <w:rFonts w:ascii="Arial" w:hAnsi="Arial" w:cs="Arial"/>
          <w:sz w:val="24"/>
          <w:szCs w:val="24"/>
        </w:rPr>
        <w:t xml:space="preserve">. </w:t>
      </w:r>
    </w:p>
    <w:p w14:paraId="63DDA5EB" w14:textId="01DC4391" w:rsidR="00894117" w:rsidRPr="000B5123" w:rsidRDefault="00894117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Les Autres Créances </w:t>
      </w:r>
      <w:r w:rsidR="00B0309A" w:rsidRPr="000B5123">
        <w:rPr>
          <w:rFonts w:ascii="Arial" w:hAnsi="Arial" w:cs="Arial"/>
          <w:sz w:val="24"/>
          <w:szCs w:val="24"/>
        </w:rPr>
        <w:t>s’élèvent à</w:t>
      </w:r>
      <w:r w:rsidRPr="000B5123">
        <w:rPr>
          <w:rFonts w:ascii="Arial" w:hAnsi="Arial" w:cs="Arial"/>
          <w:sz w:val="24"/>
          <w:szCs w:val="24"/>
        </w:rPr>
        <w:t xml:space="preserve"> </w:t>
      </w:r>
      <w:r w:rsidR="002D1C85" w:rsidRPr="000B5123">
        <w:rPr>
          <w:rFonts w:ascii="Arial" w:hAnsi="Arial" w:cs="Arial"/>
          <w:sz w:val="24"/>
          <w:szCs w:val="24"/>
        </w:rPr>
        <w:t>786 K€</w:t>
      </w:r>
      <w:r w:rsidR="001E73BB" w:rsidRPr="000B5123">
        <w:rPr>
          <w:rFonts w:ascii="Arial" w:hAnsi="Arial" w:cs="Arial"/>
          <w:sz w:val="24"/>
          <w:szCs w:val="24"/>
        </w:rPr>
        <w:t xml:space="preserve"> </w:t>
      </w:r>
      <w:r w:rsidR="002414F3" w:rsidRPr="000B5123">
        <w:rPr>
          <w:rFonts w:ascii="Arial" w:hAnsi="Arial" w:cs="Arial"/>
          <w:sz w:val="24"/>
          <w:szCs w:val="24"/>
        </w:rPr>
        <w:t xml:space="preserve">contre </w:t>
      </w:r>
      <w:r w:rsidR="00CC3C49" w:rsidRPr="000B5123">
        <w:rPr>
          <w:rFonts w:ascii="Arial" w:hAnsi="Arial" w:cs="Arial"/>
          <w:sz w:val="24"/>
          <w:szCs w:val="24"/>
        </w:rPr>
        <w:t>9</w:t>
      </w:r>
      <w:r w:rsidR="002D1C85" w:rsidRPr="000B5123">
        <w:rPr>
          <w:rFonts w:ascii="Arial" w:hAnsi="Arial" w:cs="Arial"/>
          <w:sz w:val="24"/>
          <w:szCs w:val="24"/>
        </w:rPr>
        <w:t>19</w:t>
      </w:r>
      <w:r w:rsidR="00CC3C49" w:rsidRPr="000B5123">
        <w:rPr>
          <w:rFonts w:ascii="Arial" w:hAnsi="Arial" w:cs="Arial"/>
          <w:sz w:val="24"/>
          <w:szCs w:val="24"/>
        </w:rPr>
        <w:t xml:space="preserve"> K€</w:t>
      </w:r>
      <w:r w:rsidR="00D75355" w:rsidRPr="000B5123">
        <w:rPr>
          <w:rFonts w:ascii="Arial" w:hAnsi="Arial" w:cs="Arial"/>
          <w:sz w:val="24"/>
          <w:szCs w:val="24"/>
        </w:rPr>
        <w:t xml:space="preserve"> </w:t>
      </w:r>
      <w:r w:rsidRPr="000B5123">
        <w:rPr>
          <w:rFonts w:ascii="Arial" w:hAnsi="Arial" w:cs="Arial"/>
          <w:sz w:val="24"/>
          <w:szCs w:val="24"/>
        </w:rPr>
        <w:t>fin 20</w:t>
      </w:r>
      <w:r w:rsidR="00CC3C49" w:rsidRPr="000B5123">
        <w:rPr>
          <w:rFonts w:ascii="Arial" w:hAnsi="Arial" w:cs="Arial"/>
          <w:sz w:val="24"/>
          <w:szCs w:val="24"/>
        </w:rPr>
        <w:t>2</w:t>
      </w:r>
      <w:r w:rsidR="002D1C85" w:rsidRPr="000B5123">
        <w:rPr>
          <w:rFonts w:ascii="Arial" w:hAnsi="Arial" w:cs="Arial"/>
          <w:sz w:val="24"/>
          <w:szCs w:val="24"/>
        </w:rPr>
        <w:t>2</w:t>
      </w:r>
      <w:r w:rsidR="00B0309A" w:rsidRPr="000B5123">
        <w:rPr>
          <w:rFonts w:ascii="Arial" w:hAnsi="Arial" w:cs="Arial"/>
          <w:sz w:val="24"/>
          <w:szCs w:val="24"/>
        </w:rPr>
        <w:t>.</w:t>
      </w:r>
    </w:p>
    <w:p w14:paraId="6B59D573" w14:textId="77777777" w:rsidR="001A791D" w:rsidRDefault="00894117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La </w:t>
      </w:r>
      <w:r w:rsidRPr="000B5123">
        <w:rPr>
          <w:rFonts w:ascii="Arial" w:hAnsi="Arial" w:cs="Arial"/>
          <w:b/>
          <w:sz w:val="24"/>
          <w:szCs w:val="24"/>
        </w:rPr>
        <w:t>trésorerie</w:t>
      </w:r>
      <w:r w:rsidR="00634681" w:rsidRPr="000B5123">
        <w:rPr>
          <w:rFonts w:ascii="Arial" w:hAnsi="Arial" w:cs="Arial"/>
          <w:b/>
          <w:sz w:val="24"/>
          <w:szCs w:val="24"/>
        </w:rPr>
        <w:t>,</w:t>
      </w:r>
      <w:r w:rsidRPr="000B5123">
        <w:rPr>
          <w:rFonts w:ascii="Arial" w:hAnsi="Arial" w:cs="Arial"/>
          <w:sz w:val="24"/>
          <w:szCs w:val="24"/>
        </w:rPr>
        <w:t xml:space="preserve"> </w:t>
      </w:r>
      <w:r w:rsidR="00634681" w:rsidRPr="000B5123">
        <w:rPr>
          <w:rFonts w:ascii="Arial" w:hAnsi="Arial" w:cs="Arial"/>
          <w:sz w:val="24"/>
          <w:szCs w:val="24"/>
        </w:rPr>
        <w:t>constituée par la somme des disponibilités et des valeurs mobilières de placement, atteint</w:t>
      </w:r>
      <w:r w:rsidR="00E77928" w:rsidRPr="000B5123">
        <w:rPr>
          <w:rFonts w:ascii="Arial" w:hAnsi="Arial" w:cs="Arial"/>
          <w:sz w:val="24"/>
          <w:szCs w:val="24"/>
        </w:rPr>
        <w:t xml:space="preserve"> </w:t>
      </w:r>
      <w:r w:rsidR="002D1C85" w:rsidRPr="000B5123">
        <w:rPr>
          <w:rFonts w:ascii="Arial" w:hAnsi="Arial" w:cs="Arial"/>
          <w:sz w:val="24"/>
          <w:szCs w:val="24"/>
        </w:rPr>
        <w:t xml:space="preserve">31 470 K€ contre </w:t>
      </w:r>
      <w:r w:rsidR="00E77928" w:rsidRPr="000B5123">
        <w:rPr>
          <w:rFonts w:ascii="Arial" w:hAnsi="Arial" w:cs="Arial"/>
          <w:sz w:val="24"/>
          <w:szCs w:val="24"/>
        </w:rPr>
        <w:t xml:space="preserve">34 835 K€ </w:t>
      </w:r>
      <w:r w:rsidR="00B603BD" w:rsidRPr="000B5123">
        <w:rPr>
          <w:rFonts w:ascii="Arial" w:hAnsi="Arial" w:cs="Arial"/>
          <w:sz w:val="24"/>
          <w:szCs w:val="24"/>
        </w:rPr>
        <w:t>fin 202</w:t>
      </w:r>
      <w:r w:rsidR="002D1C85" w:rsidRPr="000B5123">
        <w:rPr>
          <w:rFonts w:ascii="Arial" w:hAnsi="Arial" w:cs="Arial"/>
          <w:sz w:val="24"/>
          <w:szCs w:val="24"/>
        </w:rPr>
        <w:t>2</w:t>
      </w:r>
      <w:r w:rsidRPr="000B5123">
        <w:rPr>
          <w:rFonts w:ascii="Arial" w:hAnsi="Arial" w:cs="Arial"/>
          <w:sz w:val="24"/>
          <w:szCs w:val="24"/>
        </w:rPr>
        <w:t>, soit</w:t>
      </w:r>
      <w:r w:rsidR="00E77928" w:rsidRPr="000B5123">
        <w:rPr>
          <w:rFonts w:ascii="Arial" w:hAnsi="Arial" w:cs="Arial"/>
          <w:sz w:val="24"/>
          <w:szCs w:val="24"/>
        </w:rPr>
        <w:t xml:space="preserve"> </w:t>
      </w:r>
      <w:r w:rsidR="005A5708">
        <w:rPr>
          <w:rFonts w:ascii="Arial" w:hAnsi="Arial" w:cs="Arial"/>
          <w:sz w:val="24"/>
          <w:szCs w:val="24"/>
        </w:rPr>
        <w:t xml:space="preserve">- </w:t>
      </w:r>
      <w:r w:rsidR="00E77928" w:rsidRPr="000B5123">
        <w:rPr>
          <w:rFonts w:ascii="Arial" w:hAnsi="Arial" w:cs="Arial"/>
          <w:sz w:val="24"/>
          <w:szCs w:val="24"/>
        </w:rPr>
        <w:t xml:space="preserve">3 </w:t>
      </w:r>
      <w:r w:rsidR="002D1C85" w:rsidRPr="000B5123">
        <w:rPr>
          <w:rFonts w:ascii="Arial" w:hAnsi="Arial" w:cs="Arial"/>
          <w:sz w:val="24"/>
          <w:szCs w:val="24"/>
        </w:rPr>
        <w:t>365</w:t>
      </w:r>
      <w:r w:rsidR="00045CD2" w:rsidRPr="000B5123">
        <w:rPr>
          <w:rFonts w:ascii="Arial" w:hAnsi="Arial" w:cs="Arial"/>
          <w:sz w:val="24"/>
          <w:szCs w:val="24"/>
        </w:rPr>
        <w:t xml:space="preserve"> </w:t>
      </w:r>
      <w:r w:rsidR="00680E1C" w:rsidRPr="000B5123">
        <w:rPr>
          <w:rFonts w:ascii="Arial" w:hAnsi="Arial" w:cs="Arial"/>
          <w:sz w:val="24"/>
          <w:szCs w:val="24"/>
        </w:rPr>
        <w:t>K€</w:t>
      </w:r>
      <w:r w:rsidR="00045CD2" w:rsidRPr="000B5123">
        <w:rPr>
          <w:rFonts w:ascii="Arial" w:hAnsi="Arial" w:cs="Arial"/>
          <w:sz w:val="24"/>
          <w:szCs w:val="24"/>
        </w:rPr>
        <w:t>.</w:t>
      </w:r>
      <w:r w:rsidR="00BF3007" w:rsidRPr="000B5123">
        <w:rPr>
          <w:rFonts w:ascii="Arial" w:hAnsi="Arial" w:cs="Arial"/>
          <w:sz w:val="24"/>
          <w:szCs w:val="24"/>
        </w:rPr>
        <w:t xml:space="preserve"> L</w:t>
      </w:r>
      <w:r w:rsidR="00695E79" w:rsidRPr="000B5123">
        <w:rPr>
          <w:rFonts w:ascii="Arial" w:hAnsi="Arial" w:cs="Arial"/>
          <w:sz w:val="24"/>
          <w:szCs w:val="24"/>
        </w:rPr>
        <w:t>e</w:t>
      </w:r>
      <w:r w:rsidR="00C733E4" w:rsidRPr="000B5123">
        <w:rPr>
          <w:rFonts w:ascii="Arial" w:hAnsi="Arial" w:cs="Arial"/>
          <w:sz w:val="24"/>
          <w:szCs w:val="24"/>
        </w:rPr>
        <w:t xml:space="preserve"> montant des </w:t>
      </w:r>
      <w:r w:rsidR="00695E79" w:rsidRPr="000B5123">
        <w:rPr>
          <w:rFonts w:ascii="Arial" w:hAnsi="Arial" w:cs="Arial"/>
          <w:sz w:val="24"/>
          <w:szCs w:val="24"/>
        </w:rPr>
        <w:t xml:space="preserve">FCP </w:t>
      </w:r>
      <w:r w:rsidR="00102936" w:rsidRPr="000B5123">
        <w:rPr>
          <w:rFonts w:ascii="Arial" w:hAnsi="Arial" w:cs="Arial"/>
          <w:sz w:val="24"/>
          <w:szCs w:val="24"/>
        </w:rPr>
        <w:t xml:space="preserve">du siège </w:t>
      </w:r>
      <w:r w:rsidR="00E77928" w:rsidRPr="000B5123">
        <w:rPr>
          <w:rFonts w:ascii="Arial" w:hAnsi="Arial" w:cs="Arial"/>
          <w:sz w:val="24"/>
          <w:szCs w:val="24"/>
        </w:rPr>
        <w:t xml:space="preserve">diminue </w:t>
      </w:r>
      <w:r w:rsidR="00695E79" w:rsidRPr="000B5123">
        <w:rPr>
          <w:rFonts w:ascii="Arial" w:hAnsi="Arial" w:cs="Arial"/>
          <w:sz w:val="24"/>
          <w:szCs w:val="24"/>
        </w:rPr>
        <w:t xml:space="preserve">de </w:t>
      </w:r>
      <w:r w:rsidR="00102936" w:rsidRPr="000B5123">
        <w:rPr>
          <w:rFonts w:ascii="Arial" w:hAnsi="Arial" w:cs="Arial"/>
          <w:sz w:val="24"/>
          <w:szCs w:val="24"/>
        </w:rPr>
        <w:t>1 48</w:t>
      </w:r>
      <w:r w:rsidR="007314CE" w:rsidRPr="000B5123">
        <w:rPr>
          <w:rFonts w:ascii="Arial" w:hAnsi="Arial" w:cs="Arial"/>
          <w:sz w:val="24"/>
          <w:szCs w:val="24"/>
        </w:rPr>
        <w:t>2</w:t>
      </w:r>
      <w:r w:rsidR="00695E79" w:rsidRPr="000B5123">
        <w:rPr>
          <w:rFonts w:ascii="Arial" w:hAnsi="Arial" w:cs="Arial"/>
          <w:sz w:val="24"/>
          <w:szCs w:val="24"/>
        </w:rPr>
        <w:t xml:space="preserve"> K€</w:t>
      </w:r>
      <w:r w:rsidR="001B0B08" w:rsidRPr="000B5123">
        <w:rPr>
          <w:rFonts w:ascii="Arial" w:hAnsi="Arial" w:cs="Arial"/>
          <w:sz w:val="24"/>
          <w:szCs w:val="24"/>
        </w:rPr>
        <w:t xml:space="preserve">, notamment par suite </w:t>
      </w:r>
      <w:r w:rsidR="00695E79" w:rsidRPr="000B5123">
        <w:rPr>
          <w:rFonts w:ascii="Arial" w:hAnsi="Arial" w:cs="Arial"/>
          <w:sz w:val="24"/>
          <w:szCs w:val="24"/>
        </w:rPr>
        <w:t>de l</w:t>
      </w:r>
      <w:r w:rsidR="006E4854" w:rsidRPr="000B5123">
        <w:rPr>
          <w:rFonts w:ascii="Arial" w:hAnsi="Arial" w:cs="Arial"/>
          <w:sz w:val="24"/>
          <w:szCs w:val="24"/>
        </w:rPr>
        <w:t xml:space="preserve">a </w:t>
      </w:r>
      <w:r w:rsidR="00CD06A9" w:rsidRPr="000B5123">
        <w:rPr>
          <w:rFonts w:ascii="Arial" w:hAnsi="Arial" w:cs="Arial"/>
          <w:sz w:val="24"/>
          <w:szCs w:val="24"/>
        </w:rPr>
        <w:t xml:space="preserve">vente du contrat de </w:t>
      </w:r>
      <w:r w:rsidR="00CD06A9" w:rsidRPr="000B5123">
        <w:rPr>
          <w:rFonts w:ascii="Arial" w:hAnsi="Arial" w:cs="Arial"/>
          <w:sz w:val="24"/>
          <w:szCs w:val="24"/>
        </w:rPr>
        <w:lastRenderedPageBreak/>
        <w:t xml:space="preserve">capitalisation et de parts de FCP </w:t>
      </w:r>
      <w:r w:rsidR="00102936" w:rsidRPr="000B5123">
        <w:rPr>
          <w:rFonts w:ascii="Arial" w:hAnsi="Arial" w:cs="Arial"/>
          <w:sz w:val="24"/>
          <w:szCs w:val="24"/>
        </w:rPr>
        <w:t xml:space="preserve">pour 2 </w:t>
      </w:r>
      <w:r w:rsidR="007314CE" w:rsidRPr="000B5123">
        <w:rPr>
          <w:rFonts w:ascii="Arial" w:hAnsi="Arial" w:cs="Arial"/>
          <w:sz w:val="24"/>
          <w:szCs w:val="24"/>
        </w:rPr>
        <w:t>843</w:t>
      </w:r>
      <w:r w:rsidR="00102936" w:rsidRPr="000B5123">
        <w:rPr>
          <w:rFonts w:ascii="Arial" w:hAnsi="Arial" w:cs="Arial"/>
          <w:sz w:val="24"/>
          <w:szCs w:val="24"/>
        </w:rPr>
        <w:t xml:space="preserve"> K€ en 2023</w:t>
      </w:r>
      <w:r w:rsidR="00234836" w:rsidRPr="000B5123">
        <w:rPr>
          <w:rFonts w:ascii="Arial" w:hAnsi="Arial" w:cs="Arial"/>
          <w:sz w:val="24"/>
          <w:szCs w:val="24"/>
        </w:rPr>
        <w:t xml:space="preserve"> replacée en placements à court terme</w:t>
      </w:r>
      <w:r w:rsidR="00BF3007" w:rsidRPr="000B5123">
        <w:rPr>
          <w:rFonts w:ascii="Arial" w:hAnsi="Arial" w:cs="Arial"/>
          <w:sz w:val="24"/>
          <w:szCs w:val="24"/>
        </w:rPr>
        <w:t xml:space="preserve"> pour 813 K€</w:t>
      </w:r>
      <w:r w:rsidR="00102936" w:rsidRPr="000B5123">
        <w:rPr>
          <w:rFonts w:ascii="Arial" w:hAnsi="Arial" w:cs="Arial"/>
          <w:sz w:val="24"/>
          <w:szCs w:val="24"/>
        </w:rPr>
        <w:t xml:space="preserve">, compensée par la reprise de </w:t>
      </w:r>
      <w:r w:rsidR="00F452DF" w:rsidRPr="000B5123">
        <w:rPr>
          <w:rFonts w:ascii="Arial" w:hAnsi="Arial" w:cs="Arial"/>
          <w:sz w:val="24"/>
          <w:szCs w:val="24"/>
        </w:rPr>
        <w:t xml:space="preserve">la provision pour </w:t>
      </w:r>
      <w:r w:rsidR="00102936" w:rsidRPr="000B5123">
        <w:rPr>
          <w:rFonts w:ascii="Arial" w:hAnsi="Arial" w:cs="Arial"/>
          <w:sz w:val="24"/>
          <w:szCs w:val="24"/>
        </w:rPr>
        <w:t>dépréciation pour</w:t>
      </w:r>
    </w:p>
    <w:p w14:paraId="2AE612DD" w14:textId="74D0C7EF" w:rsidR="00E256CF" w:rsidRPr="000B5123" w:rsidRDefault="00102936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548 K€. L</w:t>
      </w:r>
      <w:r w:rsidR="00E256CF" w:rsidRPr="000B5123">
        <w:rPr>
          <w:rFonts w:ascii="Arial" w:hAnsi="Arial" w:cs="Arial"/>
          <w:sz w:val="24"/>
          <w:szCs w:val="24"/>
        </w:rPr>
        <w:t xml:space="preserve">es disponibilités se réduisent </w:t>
      </w:r>
      <w:r w:rsidR="001B0B08" w:rsidRPr="000B5123">
        <w:rPr>
          <w:rFonts w:ascii="Arial" w:hAnsi="Arial" w:cs="Arial"/>
          <w:sz w:val="24"/>
          <w:szCs w:val="24"/>
        </w:rPr>
        <w:t>de 2 </w:t>
      </w:r>
      <w:r w:rsidR="002D1C85" w:rsidRPr="000B5123">
        <w:rPr>
          <w:rFonts w:ascii="Arial" w:hAnsi="Arial" w:cs="Arial"/>
          <w:sz w:val="24"/>
          <w:szCs w:val="24"/>
        </w:rPr>
        <w:t>385</w:t>
      </w:r>
      <w:r w:rsidR="001B0B08" w:rsidRPr="000B5123">
        <w:rPr>
          <w:rFonts w:ascii="Arial" w:hAnsi="Arial" w:cs="Arial"/>
          <w:sz w:val="24"/>
          <w:szCs w:val="24"/>
        </w:rPr>
        <w:t xml:space="preserve"> K€</w:t>
      </w:r>
      <w:r w:rsidR="0056394D" w:rsidRPr="000B5123">
        <w:rPr>
          <w:rFonts w:ascii="Arial" w:hAnsi="Arial" w:cs="Arial"/>
          <w:sz w:val="24"/>
          <w:szCs w:val="24"/>
        </w:rPr>
        <w:t>, principalement au Siège (-</w:t>
      </w:r>
      <w:r w:rsidR="005A5708">
        <w:rPr>
          <w:rFonts w:ascii="Arial" w:hAnsi="Arial" w:cs="Arial"/>
          <w:sz w:val="24"/>
          <w:szCs w:val="24"/>
        </w:rPr>
        <w:t xml:space="preserve"> </w:t>
      </w:r>
      <w:r w:rsidR="002D1C85" w:rsidRPr="000B5123">
        <w:rPr>
          <w:rFonts w:ascii="Arial" w:hAnsi="Arial" w:cs="Arial"/>
          <w:sz w:val="24"/>
          <w:szCs w:val="24"/>
        </w:rPr>
        <w:t>539</w:t>
      </w:r>
      <w:r w:rsidR="0056394D" w:rsidRPr="000B5123">
        <w:rPr>
          <w:rFonts w:ascii="Arial" w:hAnsi="Arial" w:cs="Arial"/>
          <w:sz w:val="24"/>
          <w:szCs w:val="24"/>
        </w:rPr>
        <w:t xml:space="preserve"> K€)</w:t>
      </w:r>
      <w:r w:rsidR="00BF3007" w:rsidRPr="000B5123">
        <w:rPr>
          <w:rFonts w:ascii="Arial" w:hAnsi="Arial" w:cs="Arial"/>
          <w:sz w:val="24"/>
          <w:szCs w:val="24"/>
        </w:rPr>
        <w:t xml:space="preserve"> qui reçoit le prêt de 950 K€ d’Odette </w:t>
      </w:r>
      <w:proofErr w:type="spellStart"/>
      <w:r w:rsidR="00BF3007" w:rsidRPr="000B5123">
        <w:rPr>
          <w:rFonts w:ascii="Arial" w:hAnsi="Arial" w:cs="Arial"/>
          <w:sz w:val="24"/>
          <w:szCs w:val="24"/>
        </w:rPr>
        <w:t>Witkowska</w:t>
      </w:r>
      <w:proofErr w:type="spellEnd"/>
      <w:r w:rsidR="00BF3007" w:rsidRPr="000B5123">
        <w:rPr>
          <w:rFonts w:ascii="Arial" w:hAnsi="Arial" w:cs="Arial"/>
          <w:sz w:val="24"/>
          <w:szCs w:val="24"/>
        </w:rPr>
        <w:t xml:space="preserve"> social sur un dépôt à terme</w:t>
      </w:r>
      <w:r w:rsidR="0056394D" w:rsidRPr="000B5123">
        <w:rPr>
          <w:rFonts w:ascii="Arial" w:hAnsi="Arial" w:cs="Arial"/>
          <w:sz w:val="24"/>
          <w:szCs w:val="24"/>
        </w:rPr>
        <w:t xml:space="preserve"> et dans les établissements (- </w:t>
      </w:r>
      <w:r w:rsidR="002D1C85" w:rsidRPr="000B5123">
        <w:rPr>
          <w:rFonts w:ascii="Arial" w:hAnsi="Arial" w:cs="Arial"/>
          <w:sz w:val="24"/>
          <w:szCs w:val="24"/>
        </w:rPr>
        <w:t>1 846</w:t>
      </w:r>
      <w:r w:rsidR="0056394D" w:rsidRPr="000B5123">
        <w:rPr>
          <w:rFonts w:ascii="Arial" w:hAnsi="Arial" w:cs="Arial"/>
          <w:sz w:val="24"/>
          <w:szCs w:val="24"/>
        </w:rPr>
        <w:t xml:space="preserve"> K€)</w:t>
      </w:r>
      <w:r w:rsidR="004B7F26" w:rsidRPr="000B5123">
        <w:rPr>
          <w:rFonts w:ascii="Arial" w:hAnsi="Arial" w:cs="Arial"/>
          <w:sz w:val="24"/>
          <w:szCs w:val="24"/>
        </w:rPr>
        <w:t>.</w:t>
      </w:r>
      <w:r w:rsidR="001B0B08" w:rsidRPr="000B5123">
        <w:rPr>
          <w:rFonts w:ascii="Arial" w:hAnsi="Arial" w:cs="Arial"/>
          <w:sz w:val="24"/>
          <w:szCs w:val="24"/>
        </w:rPr>
        <w:t xml:space="preserve"> </w:t>
      </w:r>
    </w:p>
    <w:p w14:paraId="47C8822E" w14:textId="1921817D" w:rsidR="00680E1C" w:rsidRPr="000B5123" w:rsidRDefault="00F045C2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Les </w:t>
      </w:r>
      <w:r w:rsidR="00894117" w:rsidRPr="000B5123">
        <w:rPr>
          <w:rFonts w:ascii="Arial" w:hAnsi="Arial" w:cs="Arial"/>
          <w:sz w:val="24"/>
          <w:szCs w:val="24"/>
        </w:rPr>
        <w:t>disponibilités</w:t>
      </w:r>
      <w:r w:rsidRPr="000B5123">
        <w:rPr>
          <w:rFonts w:ascii="Arial" w:hAnsi="Arial" w:cs="Arial"/>
          <w:sz w:val="24"/>
          <w:szCs w:val="24"/>
        </w:rPr>
        <w:t xml:space="preserve"> s</w:t>
      </w:r>
      <w:r w:rsidR="0056394D" w:rsidRPr="000B5123">
        <w:rPr>
          <w:rFonts w:ascii="Arial" w:hAnsi="Arial" w:cs="Arial"/>
          <w:sz w:val="24"/>
          <w:szCs w:val="24"/>
        </w:rPr>
        <w:t xml:space="preserve">’établissent à </w:t>
      </w:r>
      <w:r w:rsidR="00CD06A9" w:rsidRPr="000B5123">
        <w:rPr>
          <w:rFonts w:ascii="Arial" w:hAnsi="Arial" w:cs="Arial"/>
          <w:sz w:val="24"/>
          <w:szCs w:val="24"/>
        </w:rPr>
        <w:t xml:space="preserve">8 202 K€ fin 2023 contre </w:t>
      </w:r>
      <w:r w:rsidR="00E256CF" w:rsidRPr="000B5123">
        <w:rPr>
          <w:rFonts w:ascii="Arial" w:hAnsi="Arial" w:cs="Arial"/>
          <w:sz w:val="24"/>
          <w:szCs w:val="24"/>
        </w:rPr>
        <w:t>10 587 K€ fin 2022</w:t>
      </w:r>
      <w:r w:rsidR="00680E1C" w:rsidRPr="000B5123">
        <w:rPr>
          <w:rFonts w:ascii="Arial" w:hAnsi="Arial" w:cs="Arial"/>
          <w:sz w:val="24"/>
          <w:szCs w:val="24"/>
        </w:rPr>
        <w:t xml:space="preserve">, </w:t>
      </w:r>
      <w:r w:rsidR="00894117" w:rsidRPr="000B5123">
        <w:rPr>
          <w:rFonts w:ascii="Arial" w:hAnsi="Arial" w:cs="Arial"/>
          <w:sz w:val="24"/>
          <w:szCs w:val="24"/>
        </w:rPr>
        <w:t xml:space="preserve">localisées </w:t>
      </w:r>
      <w:r w:rsidR="00634681" w:rsidRPr="000B5123">
        <w:rPr>
          <w:rFonts w:ascii="Arial" w:hAnsi="Arial" w:cs="Arial"/>
          <w:sz w:val="24"/>
          <w:szCs w:val="24"/>
        </w:rPr>
        <w:t>a</w:t>
      </w:r>
      <w:r w:rsidR="00894117" w:rsidRPr="000B5123">
        <w:rPr>
          <w:rFonts w:ascii="Arial" w:hAnsi="Arial" w:cs="Arial"/>
          <w:sz w:val="24"/>
          <w:szCs w:val="24"/>
        </w:rPr>
        <w:t>u siège</w:t>
      </w:r>
      <w:r w:rsidR="006002D0" w:rsidRPr="000B5123">
        <w:rPr>
          <w:rFonts w:ascii="Arial" w:hAnsi="Arial" w:cs="Arial"/>
          <w:sz w:val="24"/>
          <w:szCs w:val="24"/>
        </w:rPr>
        <w:t xml:space="preserve"> et dans les comités</w:t>
      </w:r>
      <w:r w:rsidR="00CD06A9" w:rsidRPr="000B5123">
        <w:rPr>
          <w:rFonts w:ascii="Arial" w:hAnsi="Arial" w:cs="Arial"/>
          <w:sz w:val="24"/>
          <w:szCs w:val="24"/>
        </w:rPr>
        <w:t xml:space="preserve"> </w:t>
      </w:r>
      <w:r w:rsidR="000B0F79" w:rsidRPr="000B5123">
        <w:rPr>
          <w:rFonts w:ascii="Arial" w:hAnsi="Arial" w:cs="Arial"/>
          <w:sz w:val="24"/>
          <w:szCs w:val="24"/>
        </w:rPr>
        <w:t>(</w:t>
      </w:r>
      <w:r w:rsidR="00E256CF" w:rsidRPr="000B5123">
        <w:rPr>
          <w:rFonts w:ascii="Arial" w:hAnsi="Arial" w:cs="Arial"/>
          <w:sz w:val="24"/>
          <w:szCs w:val="24"/>
        </w:rPr>
        <w:t xml:space="preserve">4 </w:t>
      </w:r>
      <w:r w:rsidR="00CD06A9" w:rsidRPr="000B5123">
        <w:rPr>
          <w:rFonts w:ascii="Arial" w:hAnsi="Arial" w:cs="Arial"/>
          <w:sz w:val="24"/>
          <w:szCs w:val="24"/>
        </w:rPr>
        <w:t>162</w:t>
      </w:r>
      <w:r w:rsidR="00894117" w:rsidRPr="000B5123">
        <w:rPr>
          <w:rFonts w:ascii="Arial" w:hAnsi="Arial" w:cs="Arial"/>
          <w:sz w:val="24"/>
          <w:szCs w:val="24"/>
        </w:rPr>
        <w:t xml:space="preserve"> K€)</w:t>
      </w:r>
      <w:r w:rsidR="00BB44E1" w:rsidRPr="000B5123">
        <w:rPr>
          <w:rFonts w:ascii="Arial" w:hAnsi="Arial" w:cs="Arial"/>
          <w:sz w:val="24"/>
          <w:szCs w:val="24"/>
        </w:rPr>
        <w:t xml:space="preserve">, </w:t>
      </w:r>
      <w:r w:rsidR="00D90DA6" w:rsidRPr="000B5123">
        <w:rPr>
          <w:rFonts w:ascii="Arial" w:hAnsi="Arial" w:cs="Arial"/>
          <w:sz w:val="24"/>
          <w:szCs w:val="24"/>
        </w:rPr>
        <w:t xml:space="preserve">à </w:t>
      </w:r>
      <w:proofErr w:type="spellStart"/>
      <w:r w:rsidR="00D90DA6" w:rsidRPr="000B5123">
        <w:rPr>
          <w:rFonts w:ascii="Arial" w:hAnsi="Arial" w:cs="Arial"/>
          <w:sz w:val="24"/>
          <w:szCs w:val="24"/>
        </w:rPr>
        <w:t>Escolore</w:t>
      </w:r>
      <w:proofErr w:type="spellEnd"/>
      <w:r w:rsidR="00D90DA6" w:rsidRPr="000B5123">
        <w:rPr>
          <w:rFonts w:ascii="Arial" w:hAnsi="Arial" w:cs="Arial"/>
          <w:sz w:val="24"/>
          <w:szCs w:val="24"/>
        </w:rPr>
        <w:t xml:space="preserve"> (1 917 K€), </w:t>
      </w:r>
      <w:r w:rsidR="00634681" w:rsidRPr="000B5123">
        <w:rPr>
          <w:rFonts w:ascii="Arial" w:hAnsi="Arial" w:cs="Arial"/>
          <w:sz w:val="24"/>
          <w:szCs w:val="24"/>
        </w:rPr>
        <w:t>à</w:t>
      </w:r>
      <w:r w:rsidR="00894117" w:rsidRPr="000B5123">
        <w:rPr>
          <w:rFonts w:ascii="Arial" w:hAnsi="Arial" w:cs="Arial"/>
          <w:sz w:val="24"/>
          <w:szCs w:val="24"/>
        </w:rPr>
        <w:t xml:space="preserve"> </w:t>
      </w:r>
      <w:r w:rsidR="00634681" w:rsidRPr="000B5123">
        <w:rPr>
          <w:rFonts w:ascii="Arial" w:hAnsi="Arial" w:cs="Arial"/>
          <w:sz w:val="24"/>
          <w:szCs w:val="24"/>
        </w:rPr>
        <w:t>O.</w:t>
      </w:r>
      <w:r w:rsidR="005A57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4681" w:rsidRPr="000B5123">
        <w:rPr>
          <w:rFonts w:ascii="Arial" w:hAnsi="Arial" w:cs="Arial"/>
          <w:sz w:val="24"/>
          <w:szCs w:val="24"/>
        </w:rPr>
        <w:t>Witkowska</w:t>
      </w:r>
      <w:proofErr w:type="spellEnd"/>
      <w:r w:rsidR="00634681" w:rsidRPr="000B5123">
        <w:rPr>
          <w:rFonts w:ascii="Arial" w:hAnsi="Arial" w:cs="Arial"/>
          <w:sz w:val="24"/>
          <w:szCs w:val="24"/>
        </w:rPr>
        <w:t xml:space="preserve"> </w:t>
      </w:r>
      <w:r w:rsidR="001A791D">
        <w:rPr>
          <w:rFonts w:ascii="Arial" w:hAnsi="Arial" w:cs="Arial"/>
          <w:sz w:val="24"/>
          <w:szCs w:val="24"/>
        </w:rPr>
        <w:br/>
      </w:r>
      <w:r w:rsidR="00634681" w:rsidRPr="000B5123">
        <w:rPr>
          <w:rFonts w:ascii="Arial" w:hAnsi="Arial" w:cs="Arial"/>
          <w:sz w:val="24"/>
          <w:szCs w:val="24"/>
        </w:rPr>
        <w:t>(</w:t>
      </w:r>
      <w:r w:rsidR="007B60CA" w:rsidRPr="000B5123">
        <w:rPr>
          <w:rFonts w:ascii="Arial" w:hAnsi="Arial" w:cs="Arial"/>
          <w:sz w:val="24"/>
          <w:szCs w:val="24"/>
        </w:rPr>
        <w:t xml:space="preserve">1 </w:t>
      </w:r>
      <w:r w:rsidR="00D90DA6" w:rsidRPr="000B5123">
        <w:rPr>
          <w:rFonts w:ascii="Arial" w:hAnsi="Arial" w:cs="Arial"/>
          <w:sz w:val="24"/>
          <w:szCs w:val="24"/>
        </w:rPr>
        <w:t>165</w:t>
      </w:r>
      <w:r w:rsidR="0059586E" w:rsidRPr="000B5123">
        <w:rPr>
          <w:rFonts w:ascii="Arial" w:hAnsi="Arial" w:cs="Arial"/>
          <w:sz w:val="24"/>
          <w:szCs w:val="24"/>
        </w:rPr>
        <w:t xml:space="preserve"> </w:t>
      </w:r>
      <w:r w:rsidR="00634681" w:rsidRPr="000B5123">
        <w:rPr>
          <w:rFonts w:ascii="Arial" w:hAnsi="Arial" w:cs="Arial"/>
          <w:sz w:val="24"/>
          <w:szCs w:val="24"/>
        </w:rPr>
        <w:t>K€</w:t>
      </w:r>
      <w:r w:rsidR="00E256CF" w:rsidRPr="000B5123">
        <w:rPr>
          <w:rFonts w:ascii="Arial" w:hAnsi="Arial" w:cs="Arial"/>
          <w:sz w:val="24"/>
          <w:szCs w:val="24"/>
        </w:rPr>
        <w:t>)</w:t>
      </w:r>
      <w:r w:rsidR="009B61A6" w:rsidRPr="000B5123">
        <w:rPr>
          <w:rFonts w:ascii="Arial" w:hAnsi="Arial" w:cs="Arial"/>
          <w:sz w:val="24"/>
          <w:szCs w:val="24"/>
        </w:rPr>
        <w:t>,</w:t>
      </w:r>
      <w:r w:rsidR="0059586E" w:rsidRPr="000B5123">
        <w:rPr>
          <w:rFonts w:ascii="Arial" w:hAnsi="Arial" w:cs="Arial"/>
          <w:sz w:val="24"/>
          <w:szCs w:val="24"/>
        </w:rPr>
        <w:t xml:space="preserve"> </w:t>
      </w:r>
      <w:r w:rsidR="00E256CF" w:rsidRPr="000B5123">
        <w:rPr>
          <w:rFonts w:ascii="Arial" w:hAnsi="Arial" w:cs="Arial"/>
          <w:sz w:val="24"/>
          <w:szCs w:val="24"/>
        </w:rPr>
        <w:t xml:space="preserve">au </w:t>
      </w:r>
      <w:r w:rsidR="00DE63E0" w:rsidRPr="000B5123">
        <w:rPr>
          <w:rFonts w:ascii="Arial" w:hAnsi="Arial" w:cs="Arial"/>
          <w:sz w:val="24"/>
          <w:szCs w:val="24"/>
        </w:rPr>
        <w:t>CFRP</w:t>
      </w:r>
      <w:r w:rsidR="001A791D">
        <w:rPr>
          <w:rFonts w:ascii="Arial" w:hAnsi="Arial" w:cs="Arial"/>
          <w:sz w:val="24"/>
          <w:szCs w:val="24"/>
        </w:rPr>
        <w:t xml:space="preserve"> </w:t>
      </w:r>
      <w:r w:rsidR="00DE63E0" w:rsidRPr="000B5123">
        <w:rPr>
          <w:rFonts w:ascii="Arial" w:hAnsi="Arial" w:cs="Arial"/>
          <w:sz w:val="24"/>
          <w:szCs w:val="24"/>
        </w:rPr>
        <w:t>(</w:t>
      </w:r>
      <w:r w:rsidR="00D90DA6" w:rsidRPr="000B5123">
        <w:rPr>
          <w:rFonts w:ascii="Arial" w:hAnsi="Arial" w:cs="Arial"/>
          <w:sz w:val="24"/>
          <w:szCs w:val="24"/>
        </w:rPr>
        <w:t>489</w:t>
      </w:r>
      <w:r w:rsidR="00DE63E0" w:rsidRPr="000B5123">
        <w:rPr>
          <w:rFonts w:ascii="Arial" w:hAnsi="Arial" w:cs="Arial"/>
          <w:sz w:val="24"/>
          <w:szCs w:val="24"/>
        </w:rPr>
        <w:t xml:space="preserve"> K€), </w:t>
      </w:r>
      <w:r w:rsidR="00E256CF" w:rsidRPr="000B5123">
        <w:rPr>
          <w:rFonts w:ascii="Arial" w:hAnsi="Arial" w:cs="Arial"/>
          <w:sz w:val="24"/>
          <w:szCs w:val="24"/>
        </w:rPr>
        <w:t>à l’</w:t>
      </w:r>
      <w:r w:rsidR="0059586E" w:rsidRPr="000B5123">
        <w:rPr>
          <w:rFonts w:ascii="Arial" w:hAnsi="Arial" w:cs="Arial"/>
          <w:sz w:val="24"/>
          <w:szCs w:val="24"/>
        </w:rPr>
        <w:t>I</w:t>
      </w:r>
      <w:r w:rsidR="003275D6">
        <w:rPr>
          <w:rFonts w:ascii="Arial" w:hAnsi="Arial" w:cs="Arial"/>
          <w:sz w:val="24"/>
          <w:szCs w:val="24"/>
        </w:rPr>
        <w:t>MP</w:t>
      </w:r>
      <w:r w:rsidR="0059586E" w:rsidRPr="000B5123">
        <w:rPr>
          <w:rFonts w:ascii="Arial" w:hAnsi="Arial" w:cs="Arial"/>
          <w:sz w:val="24"/>
          <w:szCs w:val="24"/>
        </w:rPr>
        <w:t>ro (</w:t>
      </w:r>
      <w:r w:rsidR="00D90DA6" w:rsidRPr="000B5123">
        <w:rPr>
          <w:rFonts w:ascii="Arial" w:hAnsi="Arial" w:cs="Arial"/>
          <w:sz w:val="24"/>
          <w:szCs w:val="24"/>
        </w:rPr>
        <w:t>370</w:t>
      </w:r>
      <w:r w:rsidR="0059586E" w:rsidRPr="000B5123">
        <w:rPr>
          <w:rFonts w:ascii="Arial" w:hAnsi="Arial" w:cs="Arial"/>
          <w:sz w:val="24"/>
          <w:szCs w:val="24"/>
        </w:rPr>
        <w:t xml:space="preserve"> K€</w:t>
      </w:r>
      <w:r w:rsidR="00E256CF" w:rsidRPr="000B5123">
        <w:rPr>
          <w:rFonts w:ascii="Arial" w:hAnsi="Arial" w:cs="Arial"/>
          <w:sz w:val="24"/>
          <w:szCs w:val="24"/>
        </w:rPr>
        <w:t>)</w:t>
      </w:r>
      <w:r w:rsidR="00DE63E0" w:rsidRPr="000B5123">
        <w:rPr>
          <w:rFonts w:ascii="Arial" w:hAnsi="Arial" w:cs="Arial"/>
          <w:sz w:val="24"/>
          <w:szCs w:val="24"/>
        </w:rPr>
        <w:t xml:space="preserve">, </w:t>
      </w:r>
      <w:r w:rsidR="00E256CF" w:rsidRPr="000B5123">
        <w:rPr>
          <w:rFonts w:ascii="Arial" w:hAnsi="Arial" w:cs="Arial"/>
          <w:sz w:val="24"/>
          <w:szCs w:val="24"/>
        </w:rPr>
        <w:t>à l’</w:t>
      </w:r>
      <w:r w:rsidR="00DE63E0" w:rsidRPr="000B5123">
        <w:rPr>
          <w:rFonts w:ascii="Arial" w:hAnsi="Arial" w:cs="Arial"/>
          <w:sz w:val="24"/>
          <w:szCs w:val="24"/>
        </w:rPr>
        <w:t>EA La Villette</w:t>
      </w:r>
      <w:r w:rsidR="00BC2E8F" w:rsidRPr="000B5123">
        <w:rPr>
          <w:rFonts w:ascii="Arial" w:hAnsi="Arial" w:cs="Arial"/>
          <w:sz w:val="24"/>
          <w:szCs w:val="24"/>
        </w:rPr>
        <w:t>-CDTD</w:t>
      </w:r>
      <w:r w:rsidR="00DE63E0" w:rsidRPr="000B5123">
        <w:rPr>
          <w:rFonts w:ascii="Arial" w:hAnsi="Arial" w:cs="Arial"/>
          <w:sz w:val="24"/>
          <w:szCs w:val="24"/>
        </w:rPr>
        <w:t xml:space="preserve"> (</w:t>
      </w:r>
      <w:r w:rsidR="00D90DA6" w:rsidRPr="000B5123">
        <w:rPr>
          <w:rFonts w:ascii="Arial" w:hAnsi="Arial" w:cs="Arial"/>
          <w:sz w:val="24"/>
          <w:szCs w:val="24"/>
        </w:rPr>
        <w:t>91</w:t>
      </w:r>
      <w:r w:rsidR="00DE63E0" w:rsidRPr="000B5123">
        <w:rPr>
          <w:rFonts w:ascii="Arial" w:hAnsi="Arial" w:cs="Arial"/>
          <w:sz w:val="24"/>
          <w:szCs w:val="24"/>
        </w:rPr>
        <w:t xml:space="preserve"> K€)</w:t>
      </w:r>
      <w:r w:rsidR="00BC2E8F" w:rsidRPr="000B5123">
        <w:rPr>
          <w:rFonts w:ascii="Arial" w:hAnsi="Arial" w:cs="Arial"/>
          <w:sz w:val="24"/>
          <w:szCs w:val="24"/>
        </w:rPr>
        <w:t>, SAVS-DV (</w:t>
      </w:r>
      <w:r w:rsidR="00E256CF" w:rsidRPr="000B5123">
        <w:rPr>
          <w:rFonts w:ascii="Arial" w:hAnsi="Arial" w:cs="Arial"/>
          <w:sz w:val="24"/>
          <w:szCs w:val="24"/>
        </w:rPr>
        <w:t>7</w:t>
      </w:r>
      <w:r w:rsidR="00BC2E8F" w:rsidRPr="000B5123">
        <w:rPr>
          <w:rFonts w:ascii="Arial" w:hAnsi="Arial" w:cs="Arial"/>
          <w:sz w:val="24"/>
          <w:szCs w:val="24"/>
        </w:rPr>
        <w:t xml:space="preserve"> K€)</w:t>
      </w:r>
      <w:r w:rsidR="00BB44E1" w:rsidRPr="000B5123">
        <w:rPr>
          <w:rFonts w:ascii="Arial" w:hAnsi="Arial" w:cs="Arial"/>
          <w:sz w:val="24"/>
          <w:szCs w:val="24"/>
        </w:rPr>
        <w:t xml:space="preserve">. </w:t>
      </w:r>
      <w:r w:rsidRPr="000B5123">
        <w:rPr>
          <w:rFonts w:ascii="Arial" w:hAnsi="Arial" w:cs="Arial"/>
          <w:sz w:val="24"/>
          <w:szCs w:val="24"/>
        </w:rPr>
        <w:t>L</w:t>
      </w:r>
      <w:r w:rsidR="00BB44E1" w:rsidRPr="000B5123">
        <w:rPr>
          <w:rFonts w:ascii="Arial" w:hAnsi="Arial" w:cs="Arial"/>
          <w:sz w:val="24"/>
          <w:szCs w:val="24"/>
        </w:rPr>
        <w:t xml:space="preserve">es </w:t>
      </w:r>
      <w:r w:rsidR="00680E1C" w:rsidRPr="000B5123">
        <w:rPr>
          <w:rFonts w:ascii="Arial" w:hAnsi="Arial" w:cs="Arial"/>
          <w:sz w:val="24"/>
          <w:szCs w:val="24"/>
        </w:rPr>
        <w:t xml:space="preserve">valeurs mobilières de placement </w:t>
      </w:r>
      <w:r w:rsidR="004B7F26" w:rsidRPr="000B5123">
        <w:rPr>
          <w:rFonts w:ascii="Arial" w:hAnsi="Arial" w:cs="Arial"/>
          <w:sz w:val="24"/>
          <w:szCs w:val="24"/>
        </w:rPr>
        <w:t xml:space="preserve">baissent </w:t>
      </w:r>
      <w:r w:rsidRPr="000B5123">
        <w:rPr>
          <w:rFonts w:ascii="Arial" w:hAnsi="Arial" w:cs="Arial"/>
          <w:sz w:val="24"/>
          <w:szCs w:val="24"/>
        </w:rPr>
        <w:t xml:space="preserve">: </w:t>
      </w:r>
      <w:r w:rsidR="00CD06A9" w:rsidRPr="000B5123">
        <w:rPr>
          <w:rFonts w:ascii="Arial" w:hAnsi="Arial" w:cs="Arial"/>
          <w:sz w:val="24"/>
          <w:szCs w:val="24"/>
        </w:rPr>
        <w:t xml:space="preserve">23 268 K€ contre </w:t>
      </w:r>
      <w:r w:rsidR="001A791D">
        <w:rPr>
          <w:rFonts w:ascii="Arial" w:hAnsi="Arial" w:cs="Arial"/>
          <w:sz w:val="24"/>
          <w:szCs w:val="24"/>
        </w:rPr>
        <w:br/>
      </w:r>
      <w:r w:rsidR="004B7F26" w:rsidRPr="000B5123">
        <w:rPr>
          <w:rFonts w:ascii="Arial" w:hAnsi="Arial" w:cs="Arial"/>
          <w:sz w:val="24"/>
          <w:szCs w:val="24"/>
        </w:rPr>
        <w:t xml:space="preserve">24 248 K€ </w:t>
      </w:r>
      <w:r w:rsidR="00680E1C" w:rsidRPr="000B5123">
        <w:rPr>
          <w:rFonts w:ascii="Arial" w:hAnsi="Arial" w:cs="Arial"/>
          <w:sz w:val="24"/>
          <w:szCs w:val="24"/>
        </w:rPr>
        <w:t>fin 20</w:t>
      </w:r>
      <w:r w:rsidR="00695E79" w:rsidRPr="000B5123">
        <w:rPr>
          <w:rFonts w:ascii="Arial" w:hAnsi="Arial" w:cs="Arial"/>
          <w:sz w:val="24"/>
          <w:szCs w:val="24"/>
        </w:rPr>
        <w:t>2</w:t>
      </w:r>
      <w:r w:rsidR="00CD06A9" w:rsidRPr="000B5123">
        <w:rPr>
          <w:rFonts w:ascii="Arial" w:hAnsi="Arial" w:cs="Arial"/>
          <w:sz w:val="24"/>
          <w:szCs w:val="24"/>
        </w:rPr>
        <w:t>2</w:t>
      </w:r>
      <w:r w:rsidRPr="000B5123">
        <w:rPr>
          <w:rFonts w:ascii="Arial" w:hAnsi="Arial" w:cs="Arial"/>
          <w:sz w:val="24"/>
          <w:szCs w:val="24"/>
        </w:rPr>
        <w:t xml:space="preserve">, soit une </w:t>
      </w:r>
      <w:r w:rsidR="004B7F26" w:rsidRPr="000B5123">
        <w:rPr>
          <w:rFonts w:ascii="Arial" w:hAnsi="Arial" w:cs="Arial"/>
          <w:sz w:val="24"/>
          <w:szCs w:val="24"/>
        </w:rPr>
        <w:t xml:space="preserve">diminution de </w:t>
      </w:r>
      <w:r w:rsidR="00CD06A9" w:rsidRPr="000B5123">
        <w:rPr>
          <w:rFonts w:ascii="Arial" w:hAnsi="Arial" w:cs="Arial"/>
          <w:sz w:val="24"/>
          <w:szCs w:val="24"/>
        </w:rPr>
        <w:t>980</w:t>
      </w:r>
      <w:r w:rsidR="000C175E" w:rsidRPr="000B5123">
        <w:rPr>
          <w:rFonts w:ascii="Arial" w:hAnsi="Arial" w:cs="Arial"/>
          <w:sz w:val="24"/>
          <w:szCs w:val="24"/>
        </w:rPr>
        <w:t xml:space="preserve"> K€</w:t>
      </w:r>
      <w:r w:rsidR="004B7F26" w:rsidRPr="000B5123">
        <w:rPr>
          <w:rFonts w:ascii="Arial" w:hAnsi="Arial" w:cs="Arial"/>
          <w:sz w:val="24"/>
          <w:szCs w:val="24"/>
        </w:rPr>
        <w:t>. Les parts de SCPI représentent</w:t>
      </w:r>
      <w:r w:rsidR="007D1A1B" w:rsidRPr="000B5123">
        <w:rPr>
          <w:rFonts w:ascii="Arial" w:hAnsi="Arial" w:cs="Arial"/>
          <w:sz w:val="24"/>
          <w:szCs w:val="24"/>
        </w:rPr>
        <w:t xml:space="preserve"> </w:t>
      </w:r>
      <w:r w:rsidR="001A791D">
        <w:rPr>
          <w:rFonts w:ascii="Arial" w:hAnsi="Arial" w:cs="Arial"/>
          <w:sz w:val="24"/>
          <w:szCs w:val="24"/>
        </w:rPr>
        <w:br/>
      </w:r>
      <w:r w:rsidR="009D6726" w:rsidRPr="000B5123">
        <w:rPr>
          <w:rFonts w:ascii="Arial" w:hAnsi="Arial" w:cs="Arial"/>
          <w:sz w:val="24"/>
          <w:szCs w:val="24"/>
        </w:rPr>
        <w:t xml:space="preserve">4 </w:t>
      </w:r>
      <w:r w:rsidR="00F452DF" w:rsidRPr="000B5123">
        <w:rPr>
          <w:rFonts w:ascii="Arial" w:hAnsi="Arial" w:cs="Arial"/>
          <w:sz w:val="24"/>
          <w:szCs w:val="24"/>
        </w:rPr>
        <w:t>643</w:t>
      </w:r>
      <w:r w:rsidR="007D1A1B" w:rsidRPr="000B5123">
        <w:rPr>
          <w:rFonts w:ascii="Arial" w:hAnsi="Arial" w:cs="Arial"/>
          <w:sz w:val="24"/>
          <w:szCs w:val="24"/>
        </w:rPr>
        <w:t xml:space="preserve"> K€, </w:t>
      </w:r>
      <w:r w:rsidR="006D0388" w:rsidRPr="000B5123">
        <w:rPr>
          <w:rFonts w:ascii="Arial" w:hAnsi="Arial" w:cs="Arial"/>
          <w:sz w:val="24"/>
          <w:szCs w:val="24"/>
        </w:rPr>
        <w:t xml:space="preserve">les parts de FCP 12 </w:t>
      </w:r>
      <w:r w:rsidR="009D6726" w:rsidRPr="000B5123">
        <w:rPr>
          <w:rFonts w:ascii="Arial" w:hAnsi="Arial" w:cs="Arial"/>
          <w:sz w:val="24"/>
          <w:szCs w:val="24"/>
        </w:rPr>
        <w:t>025</w:t>
      </w:r>
      <w:r w:rsidR="006D0388" w:rsidRPr="000B5123">
        <w:rPr>
          <w:rFonts w:ascii="Arial" w:hAnsi="Arial" w:cs="Arial"/>
          <w:sz w:val="24"/>
          <w:szCs w:val="24"/>
        </w:rPr>
        <w:t xml:space="preserve"> K€, les comptes </w:t>
      </w:r>
      <w:r w:rsidR="001E73BB" w:rsidRPr="000B5123">
        <w:rPr>
          <w:rFonts w:ascii="Arial" w:hAnsi="Arial" w:cs="Arial"/>
          <w:sz w:val="24"/>
          <w:szCs w:val="24"/>
        </w:rPr>
        <w:t xml:space="preserve">d’épargne </w:t>
      </w:r>
      <w:r w:rsidR="006D0388" w:rsidRPr="000B5123">
        <w:rPr>
          <w:rFonts w:ascii="Arial" w:hAnsi="Arial" w:cs="Arial"/>
          <w:sz w:val="24"/>
          <w:szCs w:val="24"/>
        </w:rPr>
        <w:t>à terme 5 </w:t>
      </w:r>
      <w:r w:rsidR="009D6726" w:rsidRPr="000B5123">
        <w:rPr>
          <w:rFonts w:ascii="Arial" w:hAnsi="Arial" w:cs="Arial"/>
          <w:sz w:val="24"/>
          <w:szCs w:val="24"/>
        </w:rPr>
        <w:t>6</w:t>
      </w:r>
      <w:r w:rsidR="006D0388" w:rsidRPr="000B5123">
        <w:rPr>
          <w:rFonts w:ascii="Arial" w:hAnsi="Arial" w:cs="Arial"/>
          <w:sz w:val="24"/>
          <w:szCs w:val="24"/>
        </w:rPr>
        <w:t>00 K€</w:t>
      </w:r>
      <w:r w:rsidR="00F452DF" w:rsidRPr="000B5123">
        <w:rPr>
          <w:rFonts w:ascii="Arial" w:hAnsi="Arial" w:cs="Arial"/>
          <w:sz w:val="24"/>
          <w:szCs w:val="24"/>
        </w:rPr>
        <w:t>, les dépôts à terme 1 000 K€</w:t>
      </w:r>
      <w:r w:rsidR="006D0388" w:rsidRPr="000B5123">
        <w:rPr>
          <w:rFonts w:ascii="Arial" w:hAnsi="Arial" w:cs="Arial"/>
          <w:sz w:val="24"/>
          <w:szCs w:val="24"/>
        </w:rPr>
        <w:t>.</w:t>
      </w:r>
      <w:r w:rsidR="00DC44D0" w:rsidRPr="000B5123">
        <w:rPr>
          <w:rFonts w:ascii="Arial" w:hAnsi="Arial" w:cs="Arial"/>
          <w:sz w:val="24"/>
          <w:szCs w:val="24"/>
        </w:rPr>
        <w:t xml:space="preserve"> </w:t>
      </w:r>
      <w:r w:rsidR="000C175E" w:rsidRPr="000B5123">
        <w:rPr>
          <w:rFonts w:ascii="Arial" w:hAnsi="Arial" w:cs="Arial"/>
          <w:sz w:val="24"/>
          <w:szCs w:val="24"/>
        </w:rPr>
        <w:t>L</w:t>
      </w:r>
      <w:r w:rsidR="006E4854" w:rsidRPr="000B5123">
        <w:rPr>
          <w:rFonts w:ascii="Arial" w:hAnsi="Arial" w:cs="Arial"/>
          <w:sz w:val="24"/>
          <w:szCs w:val="24"/>
        </w:rPr>
        <w:t>a plus-value latente</w:t>
      </w:r>
      <w:r w:rsidR="006D0388" w:rsidRPr="000B5123">
        <w:rPr>
          <w:rFonts w:ascii="Arial" w:hAnsi="Arial" w:cs="Arial"/>
          <w:sz w:val="24"/>
          <w:szCs w:val="24"/>
        </w:rPr>
        <w:t>, principalement sur les parts de SCPI, ressort</w:t>
      </w:r>
      <w:r w:rsidR="006E4854" w:rsidRPr="000B5123">
        <w:rPr>
          <w:rFonts w:ascii="Arial" w:hAnsi="Arial" w:cs="Arial"/>
          <w:sz w:val="24"/>
          <w:szCs w:val="24"/>
        </w:rPr>
        <w:t xml:space="preserve"> à </w:t>
      </w:r>
      <w:r w:rsidR="002C4DDF" w:rsidRPr="000B5123">
        <w:rPr>
          <w:rFonts w:ascii="Arial" w:hAnsi="Arial" w:cs="Arial"/>
          <w:sz w:val="24"/>
          <w:szCs w:val="24"/>
        </w:rPr>
        <w:t xml:space="preserve">131 K€ contre </w:t>
      </w:r>
      <w:r w:rsidR="006D0388" w:rsidRPr="000B5123">
        <w:rPr>
          <w:rFonts w:ascii="Arial" w:hAnsi="Arial" w:cs="Arial"/>
          <w:sz w:val="24"/>
          <w:szCs w:val="24"/>
        </w:rPr>
        <w:t>258 K€</w:t>
      </w:r>
      <w:r w:rsidR="00BF3007" w:rsidRPr="000B5123">
        <w:rPr>
          <w:rFonts w:ascii="Arial" w:hAnsi="Arial" w:cs="Arial"/>
          <w:sz w:val="24"/>
          <w:szCs w:val="24"/>
        </w:rPr>
        <w:t xml:space="preserve"> fin 2022</w:t>
      </w:r>
      <w:r w:rsidR="00DE63E0" w:rsidRPr="000B5123">
        <w:rPr>
          <w:rFonts w:ascii="Arial" w:hAnsi="Arial" w:cs="Arial"/>
          <w:sz w:val="24"/>
          <w:szCs w:val="24"/>
        </w:rPr>
        <w:t>.</w:t>
      </w:r>
    </w:p>
    <w:p w14:paraId="6BD96086" w14:textId="77777777" w:rsidR="00AB2497" w:rsidRDefault="00AB2497" w:rsidP="00F26BCA">
      <w:pPr>
        <w:spacing w:after="0"/>
        <w:ind w:left="851"/>
        <w:rPr>
          <w:rFonts w:ascii="Arial" w:hAnsi="Arial" w:cs="Arial"/>
          <w:sz w:val="24"/>
          <w:szCs w:val="24"/>
        </w:rPr>
      </w:pPr>
    </w:p>
    <w:p w14:paraId="342B910C" w14:textId="115CC1EB" w:rsidR="00894117" w:rsidRPr="000B5123" w:rsidRDefault="00894117" w:rsidP="008422CD">
      <w:pPr>
        <w:pStyle w:val="Titre2"/>
        <w:ind w:left="851"/>
      </w:pPr>
      <w:bookmarkStart w:id="4" w:name="_Toc168581068"/>
      <w:r w:rsidRPr="000B5123">
        <w:t>Passif</w:t>
      </w:r>
      <w:bookmarkEnd w:id="4"/>
    </w:p>
    <w:p w14:paraId="73B4D4A2" w14:textId="6CA5F457" w:rsidR="008A3BE7" w:rsidRPr="000B5123" w:rsidRDefault="00894117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Les fonds propres </w:t>
      </w:r>
      <w:r w:rsidR="008A3BE7" w:rsidRPr="000B5123">
        <w:rPr>
          <w:rFonts w:ascii="Arial" w:hAnsi="Arial" w:cs="Arial"/>
          <w:sz w:val="24"/>
          <w:szCs w:val="24"/>
        </w:rPr>
        <w:t xml:space="preserve">s’élèvent à </w:t>
      </w:r>
      <w:r w:rsidR="003857DA" w:rsidRPr="000B5123">
        <w:rPr>
          <w:rFonts w:ascii="Arial" w:hAnsi="Arial" w:cs="Arial"/>
          <w:sz w:val="24"/>
          <w:szCs w:val="24"/>
        </w:rPr>
        <w:t xml:space="preserve">42 205 K€ contre </w:t>
      </w:r>
      <w:r w:rsidR="002C40D9" w:rsidRPr="000B5123">
        <w:rPr>
          <w:rFonts w:ascii="Arial" w:hAnsi="Arial" w:cs="Arial"/>
          <w:sz w:val="24"/>
          <w:szCs w:val="24"/>
        </w:rPr>
        <w:t xml:space="preserve">44 179 K€ </w:t>
      </w:r>
      <w:r w:rsidR="00447387" w:rsidRPr="000B5123">
        <w:rPr>
          <w:rFonts w:ascii="Arial" w:hAnsi="Arial" w:cs="Arial"/>
          <w:sz w:val="24"/>
          <w:szCs w:val="24"/>
        </w:rPr>
        <w:t>constatés fin 202</w:t>
      </w:r>
      <w:r w:rsidR="003857DA" w:rsidRPr="000B5123">
        <w:rPr>
          <w:rFonts w:ascii="Arial" w:hAnsi="Arial" w:cs="Arial"/>
          <w:sz w:val="24"/>
          <w:szCs w:val="24"/>
        </w:rPr>
        <w:t>2</w:t>
      </w:r>
      <w:r w:rsidR="00447387" w:rsidRPr="000B5123">
        <w:rPr>
          <w:rFonts w:ascii="Arial" w:hAnsi="Arial" w:cs="Arial"/>
          <w:sz w:val="24"/>
          <w:szCs w:val="24"/>
        </w:rPr>
        <w:t>.</w:t>
      </w:r>
      <w:r w:rsidR="008A3BE7" w:rsidRPr="000B5123">
        <w:rPr>
          <w:rFonts w:ascii="Arial" w:hAnsi="Arial" w:cs="Arial"/>
          <w:sz w:val="24"/>
          <w:szCs w:val="24"/>
        </w:rPr>
        <w:t xml:space="preserve"> </w:t>
      </w:r>
    </w:p>
    <w:p w14:paraId="5435D55B" w14:textId="4F738E30" w:rsidR="00EF2725" w:rsidRPr="000B5123" w:rsidRDefault="008A3BE7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La note IV de l’annexe aux comptes explique l’origine de ces variations. </w:t>
      </w:r>
      <w:r w:rsidR="004E4B75" w:rsidRPr="000B5123">
        <w:rPr>
          <w:rFonts w:ascii="Arial" w:hAnsi="Arial" w:cs="Arial"/>
          <w:sz w:val="24"/>
          <w:szCs w:val="24"/>
        </w:rPr>
        <w:t>En premier lieu, l</w:t>
      </w:r>
      <w:r w:rsidRPr="000B5123">
        <w:rPr>
          <w:rFonts w:ascii="Arial" w:hAnsi="Arial" w:cs="Arial"/>
          <w:sz w:val="24"/>
          <w:szCs w:val="24"/>
        </w:rPr>
        <w:t>’affectation du résultat 20</w:t>
      </w:r>
      <w:r w:rsidR="00816599" w:rsidRPr="000B5123">
        <w:rPr>
          <w:rFonts w:ascii="Arial" w:hAnsi="Arial" w:cs="Arial"/>
          <w:sz w:val="24"/>
          <w:szCs w:val="24"/>
        </w:rPr>
        <w:t>2</w:t>
      </w:r>
      <w:r w:rsidR="00386D2A" w:rsidRPr="000B5123">
        <w:rPr>
          <w:rFonts w:ascii="Arial" w:hAnsi="Arial" w:cs="Arial"/>
          <w:sz w:val="24"/>
          <w:szCs w:val="24"/>
        </w:rPr>
        <w:t>2</w:t>
      </w:r>
      <w:r w:rsidRPr="000B5123">
        <w:rPr>
          <w:rFonts w:ascii="Arial" w:hAnsi="Arial" w:cs="Arial"/>
          <w:sz w:val="24"/>
          <w:szCs w:val="24"/>
        </w:rPr>
        <w:t xml:space="preserve"> s’effectue </w:t>
      </w:r>
      <w:r w:rsidR="004E4B75" w:rsidRPr="000B5123">
        <w:rPr>
          <w:rFonts w:ascii="Arial" w:hAnsi="Arial" w:cs="Arial"/>
          <w:sz w:val="24"/>
          <w:szCs w:val="24"/>
        </w:rPr>
        <w:t xml:space="preserve">selon les </w:t>
      </w:r>
      <w:r w:rsidRPr="000B5123">
        <w:rPr>
          <w:rFonts w:ascii="Arial" w:hAnsi="Arial" w:cs="Arial"/>
          <w:sz w:val="24"/>
          <w:szCs w:val="24"/>
        </w:rPr>
        <w:t>résolutions votées par l’assemblée générale ordinaire tenue le 1</w:t>
      </w:r>
      <w:r w:rsidR="00386D2A" w:rsidRPr="000B5123">
        <w:rPr>
          <w:rFonts w:ascii="Arial" w:hAnsi="Arial" w:cs="Arial"/>
          <w:sz w:val="24"/>
          <w:szCs w:val="24"/>
        </w:rPr>
        <w:t>4</w:t>
      </w:r>
      <w:r w:rsidR="00816599" w:rsidRPr="000B5123">
        <w:rPr>
          <w:rFonts w:ascii="Arial" w:hAnsi="Arial" w:cs="Arial"/>
          <w:sz w:val="24"/>
          <w:szCs w:val="24"/>
        </w:rPr>
        <w:t xml:space="preserve"> juin 202</w:t>
      </w:r>
      <w:r w:rsidR="00533F22" w:rsidRPr="000B5123">
        <w:rPr>
          <w:rFonts w:ascii="Arial" w:hAnsi="Arial" w:cs="Arial"/>
          <w:sz w:val="24"/>
          <w:szCs w:val="24"/>
        </w:rPr>
        <w:t>3</w:t>
      </w:r>
      <w:r w:rsidRPr="000B5123">
        <w:rPr>
          <w:rFonts w:ascii="Arial" w:hAnsi="Arial" w:cs="Arial"/>
          <w:sz w:val="24"/>
          <w:szCs w:val="24"/>
        </w:rPr>
        <w:t xml:space="preserve"> : </w:t>
      </w:r>
      <w:r w:rsidR="002E4C08" w:rsidRPr="000B5123">
        <w:rPr>
          <w:rFonts w:ascii="Arial" w:hAnsi="Arial" w:cs="Arial"/>
          <w:sz w:val="24"/>
          <w:szCs w:val="24"/>
        </w:rPr>
        <w:t>l</w:t>
      </w:r>
      <w:r w:rsidR="00533F22" w:rsidRPr="000B5123">
        <w:rPr>
          <w:rFonts w:ascii="Arial" w:hAnsi="Arial" w:cs="Arial"/>
          <w:sz w:val="24"/>
          <w:szCs w:val="24"/>
        </w:rPr>
        <w:t xml:space="preserve">e déficit </w:t>
      </w:r>
      <w:r w:rsidR="002C40D9" w:rsidRPr="000B5123">
        <w:rPr>
          <w:rFonts w:ascii="Arial" w:hAnsi="Arial" w:cs="Arial"/>
          <w:sz w:val="24"/>
          <w:szCs w:val="24"/>
        </w:rPr>
        <w:t>202</w:t>
      </w:r>
      <w:r w:rsidR="00533F22" w:rsidRPr="000B5123">
        <w:rPr>
          <w:rFonts w:ascii="Arial" w:hAnsi="Arial" w:cs="Arial"/>
          <w:sz w:val="24"/>
          <w:szCs w:val="24"/>
        </w:rPr>
        <w:t>2</w:t>
      </w:r>
      <w:r w:rsidR="002C40D9" w:rsidRPr="000B5123">
        <w:rPr>
          <w:rFonts w:ascii="Arial" w:hAnsi="Arial" w:cs="Arial"/>
          <w:sz w:val="24"/>
          <w:szCs w:val="24"/>
        </w:rPr>
        <w:t xml:space="preserve"> </w:t>
      </w:r>
      <w:r w:rsidR="00F04310" w:rsidRPr="000B5123">
        <w:rPr>
          <w:rFonts w:ascii="Arial" w:hAnsi="Arial" w:cs="Arial"/>
          <w:sz w:val="24"/>
          <w:szCs w:val="24"/>
        </w:rPr>
        <w:t>de la gestion libre</w:t>
      </w:r>
      <w:r w:rsidR="002E4C08" w:rsidRPr="000B5123">
        <w:rPr>
          <w:rFonts w:ascii="Arial" w:hAnsi="Arial" w:cs="Arial"/>
          <w:sz w:val="24"/>
          <w:szCs w:val="24"/>
        </w:rPr>
        <w:t xml:space="preserve"> (siège et ateliers spécialisés)</w:t>
      </w:r>
      <w:r w:rsidR="00B63471" w:rsidRPr="000B5123">
        <w:rPr>
          <w:rFonts w:ascii="Arial" w:hAnsi="Arial" w:cs="Arial"/>
          <w:sz w:val="24"/>
          <w:szCs w:val="24"/>
        </w:rPr>
        <w:t>,</w:t>
      </w:r>
      <w:r w:rsidR="00F04310" w:rsidRPr="000B5123">
        <w:rPr>
          <w:rFonts w:ascii="Arial" w:hAnsi="Arial" w:cs="Arial"/>
          <w:sz w:val="24"/>
          <w:szCs w:val="24"/>
        </w:rPr>
        <w:t xml:space="preserve"> </w:t>
      </w:r>
      <w:r w:rsidR="005D404D" w:rsidRPr="000B5123">
        <w:rPr>
          <w:rFonts w:ascii="Arial" w:hAnsi="Arial" w:cs="Arial"/>
          <w:sz w:val="24"/>
          <w:szCs w:val="24"/>
        </w:rPr>
        <w:t>auquel s’ajoute</w:t>
      </w:r>
      <w:r w:rsidR="00533F22" w:rsidRPr="000B5123">
        <w:rPr>
          <w:rFonts w:ascii="Arial" w:hAnsi="Arial" w:cs="Arial"/>
          <w:sz w:val="24"/>
          <w:szCs w:val="24"/>
        </w:rPr>
        <w:t>nt</w:t>
      </w:r>
      <w:r w:rsidR="005D404D" w:rsidRPr="000B5123">
        <w:rPr>
          <w:rFonts w:ascii="Arial" w:hAnsi="Arial" w:cs="Arial"/>
          <w:sz w:val="24"/>
          <w:szCs w:val="24"/>
        </w:rPr>
        <w:t xml:space="preserve"> la diminution de la réserve immobilière </w:t>
      </w:r>
      <w:r w:rsidR="00533F22" w:rsidRPr="000B5123">
        <w:rPr>
          <w:rFonts w:ascii="Arial" w:hAnsi="Arial" w:cs="Arial"/>
          <w:sz w:val="24"/>
          <w:szCs w:val="24"/>
        </w:rPr>
        <w:t>et l’augmentation de la réserve de prévoyance</w:t>
      </w:r>
      <w:r w:rsidR="00B63471" w:rsidRPr="000B5123">
        <w:rPr>
          <w:rFonts w:ascii="Arial" w:hAnsi="Arial" w:cs="Arial"/>
          <w:sz w:val="24"/>
          <w:szCs w:val="24"/>
        </w:rPr>
        <w:t>,</w:t>
      </w:r>
      <w:r w:rsidR="00533F22" w:rsidRPr="000B5123">
        <w:rPr>
          <w:rFonts w:ascii="Arial" w:hAnsi="Arial" w:cs="Arial"/>
          <w:sz w:val="24"/>
          <w:szCs w:val="24"/>
        </w:rPr>
        <w:t xml:space="preserve"> </w:t>
      </w:r>
      <w:r w:rsidR="005D404D" w:rsidRPr="000B5123">
        <w:rPr>
          <w:rFonts w:ascii="Arial" w:hAnsi="Arial" w:cs="Arial"/>
          <w:sz w:val="24"/>
          <w:szCs w:val="24"/>
        </w:rPr>
        <w:t>f</w:t>
      </w:r>
      <w:r w:rsidR="00B63471" w:rsidRPr="000B5123">
        <w:rPr>
          <w:rFonts w:ascii="Arial" w:hAnsi="Arial" w:cs="Arial"/>
          <w:sz w:val="24"/>
          <w:szCs w:val="24"/>
        </w:rPr>
        <w:t>ait</w:t>
      </w:r>
      <w:r w:rsidR="005D404D" w:rsidRPr="000B5123">
        <w:rPr>
          <w:rFonts w:ascii="Arial" w:hAnsi="Arial" w:cs="Arial"/>
          <w:sz w:val="24"/>
          <w:szCs w:val="24"/>
        </w:rPr>
        <w:t xml:space="preserve"> disparaitre le report à nouveau </w:t>
      </w:r>
      <w:r w:rsidR="00533F22" w:rsidRPr="000B5123">
        <w:rPr>
          <w:rFonts w:ascii="Arial" w:hAnsi="Arial" w:cs="Arial"/>
          <w:sz w:val="24"/>
          <w:szCs w:val="24"/>
        </w:rPr>
        <w:t xml:space="preserve">positif qui devient négatif </w:t>
      </w:r>
      <w:r w:rsidR="005D404D" w:rsidRPr="000B5123">
        <w:rPr>
          <w:rFonts w:ascii="Arial" w:hAnsi="Arial" w:cs="Arial"/>
          <w:sz w:val="24"/>
          <w:szCs w:val="24"/>
        </w:rPr>
        <w:t xml:space="preserve">de </w:t>
      </w:r>
      <w:r w:rsidR="00EF2725" w:rsidRPr="000B5123">
        <w:rPr>
          <w:rFonts w:ascii="Arial" w:hAnsi="Arial" w:cs="Arial"/>
          <w:sz w:val="24"/>
          <w:szCs w:val="24"/>
        </w:rPr>
        <w:t>2 393</w:t>
      </w:r>
      <w:r w:rsidR="005D404D" w:rsidRPr="000B5123">
        <w:rPr>
          <w:rFonts w:ascii="Arial" w:hAnsi="Arial" w:cs="Arial"/>
          <w:sz w:val="24"/>
          <w:szCs w:val="24"/>
        </w:rPr>
        <w:t xml:space="preserve"> K€</w:t>
      </w:r>
      <w:r w:rsidR="00B63471" w:rsidRPr="000B5123">
        <w:rPr>
          <w:rFonts w:ascii="Arial" w:hAnsi="Arial" w:cs="Arial"/>
          <w:sz w:val="24"/>
          <w:szCs w:val="24"/>
        </w:rPr>
        <w:t xml:space="preserve"> fin 2023</w:t>
      </w:r>
      <w:r w:rsidR="005D404D" w:rsidRPr="000B5123">
        <w:rPr>
          <w:rFonts w:ascii="Arial" w:hAnsi="Arial" w:cs="Arial"/>
          <w:sz w:val="24"/>
          <w:szCs w:val="24"/>
        </w:rPr>
        <w:t xml:space="preserve">. </w:t>
      </w:r>
      <w:r w:rsidR="00F04310" w:rsidRPr="000B5123">
        <w:rPr>
          <w:rFonts w:ascii="Arial" w:hAnsi="Arial" w:cs="Arial"/>
          <w:sz w:val="24"/>
          <w:szCs w:val="24"/>
        </w:rPr>
        <w:t>L</w:t>
      </w:r>
      <w:r w:rsidR="00533F22" w:rsidRPr="000B5123">
        <w:rPr>
          <w:rFonts w:ascii="Arial" w:hAnsi="Arial" w:cs="Arial"/>
          <w:sz w:val="24"/>
          <w:szCs w:val="24"/>
        </w:rPr>
        <w:t xml:space="preserve">e déficit </w:t>
      </w:r>
      <w:r w:rsidR="00005F54" w:rsidRPr="000B5123">
        <w:rPr>
          <w:rFonts w:ascii="Arial" w:hAnsi="Arial" w:cs="Arial"/>
          <w:sz w:val="24"/>
          <w:szCs w:val="24"/>
        </w:rPr>
        <w:t>202</w:t>
      </w:r>
      <w:r w:rsidR="00386D2A" w:rsidRPr="000B5123">
        <w:rPr>
          <w:rFonts w:ascii="Arial" w:hAnsi="Arial" w:cs="Arial"/>
          <w:sz w:val="24"/>
          <w:szCs w:val="24"/>
        </w:rPr>
        <w:t>2</w:t>
      </w:r>
      <w:r w:rsidR="00005F54" w:rsidRPr="000B5123">
        <w:rPr>
          <w:rFonts w:ascii="Arial" w:hAnsi="Arial" w:cs="Arial"/>
          <w:sz w:val="24"/>
          <w:szCs w:val="24"/>
        </w:rPr>
        <w:t xml:space="preserve"> </w:t>
      </w:r>
      <w:r w:rsidR="00F04310" w:rsidRPr="000B5123">
        <w:rPr>
          <w:rFonts w:ascii="Arial" w:hAnsi="Arial" w:cs="Arial"/>
          <w:sz w:val="24"/>
          <w:szCs w:val="24"/>
        </w:rPr>
        <w:t xml:space="preserve">de la gestion encadrée </w:t>
      </w:r>
      <w:r w:rsidR="002E4C08" w:rsidRPr="000B5123">
        <w:rPr>
          <w:rFonts w:ascii="Arial" w:hAnsi="Arial" w:cs="Arial"/>
          <w:sz w:val="24"/>
          <w:szCs w:val="24"/>
        </w:rPr>
        <w:t xml:space="preserve">(établissements sous </w:t>
      </w:r>
      <w:r w:rsidR="004E4B75" w:rsidRPr="000B5123">
        <w:rPr>
          <w:rFonts w:ascii="Arial" w:hAnsi="Arial" w:cs="Arial"/>
          <w:sz w:val="24"/>
          <w:szCs w:val="24"/>
        </w:rPr>
        <w:t>tutelle) (</w:t>
      </w:r>
      <w:r w:rsidR="00B63471" w:rsidRPr="000B5123">
        <w:rPr>
          <w:rFonts w:ascii="Arial" w:hAnsi="Arial" w:cs="Arial"/>
          <w:sz w:val="24"/>
          <w:szCs w:val="24"/>
        </w:rPr>
        <w:t>-</w:t>
      </w:r>
      <w:r w:rsidR="006E7D82">
        <w:rPr>
          <w:rFonts w:ascii="Arial" w:hAnsi="Arial" w:cs="Arial"/>
          <w:sz w:val="24"/>
          <w:szCs w:val="24"/>
        </w:rPr>
        <w:t xml:space="preserve"> </w:t>
      </w:r>
      <w:r w:rsidR="00B63471" w:rsidRPr="000B5123">
        <w:rPr>
          <w:rFonts w:ascii="Arial" w:hAnsi="Arial" w:cs="Arial"/>
          <w:sz w:val="24"/>
          <w:szCs w:val="24"/>
        </w:rPr>
        <w:t xml:space="preserve">412 K€) est la somme algébrique de résultats positifs et négatifs ; une partie est affectée aux réserves de compensation </w:t>
      </w:r>
      <w:r w:rsidR="00EE4483" w:rsidRPr="000B5123">
        <w:rPr>
          <w:rFonts w:ascii="Arial" w:hAnsi="Arial" w:cs="Arial"/>
          <w:sz w:val="24"/>
          <w:szCs w:val="24"/>
        </w:rPr>
        <w:t>e</w:t>
      </w:r>
      <w:r w:rsidR="00B63471" w:rsidRPr="000B5123">
        <w:rPr>
          <w:rFonts w:ascii="Arial" w:hAnsi="Arial" w:cs="Arial"/>
          <w:sz w:val="24"/>
          <w:szCs w:val="24"/>
        </w:rPr>
        <w:t>t d’investissements pour 93 K€ et le solde inscrit en report à nouveau (-</w:t>
      </w:r>
      <w:r w:rsidR="006E7D82">
        <w:rPr>
          <w:rFonts w:ascii="Arial" w:hAnsi="Arial" w:cs="Arial"/>
          <w:sz w:val="24"/>
          <w:szCs w:val="24"/>
        </w:rPr>
        <w:t xml:space="preserve"> </w:t>
      </w:r>
      <w:r w:rsidR="00B63471" w:rsidRPr="000B5123">
        <w:rPr>
          <w:rFonts w:ascii="Arial" w:hAnsi="Arial" w:cs="Arial"/>
          <w:sz w:val="24"/>
          <w:szCs w:val="24"/>
        </w:rPr>
        <w:t>505 K€)</w:t>
      </w:r>
      <w:r w:rsidR="004E4B75" w:rsidRPr="000B5123">
        <w:rPr>
          <w:rFonts w:ascii="Arial" w:hAnsi="Arial" w:cs="Arial"/>
          <w:sz w:val="24"/>
          <w:szCs w:val="24"/>
        </w:rPr>
        <w:t xml:space="preserve">. En second lieu, </w:t>
      </w:r>
      <w:r w:rsidR="00B63471" w:rsidRPr="000B5123">
        <w:rPr>
          <w:rFonts w:ascii="Arial" w:hAnsi="Arial" w:cs="Arial"/>
          <w:sz w:val="24"/>
          <w:szCs w:val="24"/>
        </w:rPr>
        <w:t>des mouvements sur les compte</w:t>
      </w:r>
      <w:r w:rsidR="007E1FB8" w:rsidRPr="000B5123">
        <w:rPr>
          <w:rFonts w:ascii="Arial" w:hAnsi="Arial" w:cs="Arial"/>
          <w:sz w:val="24"/>
          <w:szCs w:val="24"/>
        </w:rPr>
        <w:t>s</w:t>
      </w:r>
      <w:r w:rsidR="00B63471" w:rsidRPr="000B5123">
        <w:rPr>
          <w:rFonts w:ascii="Arial" w:hAnsi="Arial" w:cs="Arial"/>
          <w:sz w:val="24"/>
          <w:szCs w:val="24"/>
        </w:rPr>
        <w:t xml:space="preserve"> de réserve </w:t>
      </w:r>
      <w:r w:rsidR="004E4B75" w:rsidRPr="000B5123">
        <w:rPr>
          <w:rFonts w:ascii="Arial" w:hAnsi="Arial" w:cs="Arial"/>
          <w:sz w:val="24"/>
          <w:szCs w:val="24"/>
        </w:rPr>
        <w:t>demandés par</w:t>
      </w:r>
      <w:r w:rsidR="00B63471" w:rsidRPr="000B5123">
        <w:rPr>
          <w:rFonts w:ascii="Arial" w:hAnsi="Arial" w:cs="Arial"/>
          <w:sz w:val="24"/>
          <w:szCs w:val="24"/>
        </w:rPr>
        <w:t xml:space="preserve"> les autorités tarifaires pour OW et I</w:t>
      </w:r>
      <w:r w:rsidR="003275D6">
        <w:rPr>
          <w:rFonts w:ascii="Arial" w:hAnsi="Arial" w:cs="Arial"/>
          <w:sz w:val="24"/>
          <w:szCs w:val="24"/>
        </w:rPr>
        <w:t>MP</w:t>
      </w:r>
      <w:r w:rsidR="00B63471" w:rsidRPr="000B5123">
        <w:rPr>
          <w:rFonts w:ascii="Arial" w:hAnsi="Arial" w:cs="Arial"/>
          <w:sz w:val="24"/>
          <w:szCs w:val="24"/>
        </w:rPr>
        <w:t xml:space="preserve">ro </w:t>
      </w:r>
      <w:r w:rsidR="001A791D">
        <w:rPr>
          <w:rFonts w:ascii="Arial" w:hAnsi="Arial" w:cs="Arial"/>
          <w:sz w:val="24"/>
          <w:szCs w:val="24"/>
        </w:rPr>
        <w:br/>
      </w:r>
      <w:r w:rsidR="00B63471" w:rsidRPr="000B5123">
        <w:rPr>
          <w:rFonts w:ascii="Arial" w:hAnsi="Arial" w:cs="Arial"/>
          <w:sz w:val="24"/>
          <w:szCs w:val="24"/>
        </w:rPr>
        <w:t xml:space="preserve">(225 </w:t>
      </w:r>
      <w:r w:rsidR="007E1FB8" w:rsidRPr="000B5123">
        <w:rPr>
          <w:rFonts w:ascii="Arial" w:hAnsi="Arial" w:cs="Arial"/>
          <w:sz w:val="24"/>
          <w:szCs w:val="24"/>
        </w:rPr>
        <w:t xml:space="preserve">K€ </w:t>
      </w:r>
      <w:r w:rsidR="00B63471" w:rsidRPr="000B5123">
        <w:rPr>
          <w:rFonts w:ascii="Arial" w:hAnsi="Arial" w:cs="Arial"/>
          <w:sz w:val="24"/>
          <w:szCs w:val="24"/>
        </w:rPr>
        <w:t>– 24</w:t>
      </w:r>
      <w:r w:rsidR="007E1FB8" w:rsidRPr="000B5123">
        <w:rPr>
          <w:rFonts w:ascii="Arial" w:hAnsi="Arial" w:cs="Arial"/>
          <w:sz w:val="24"/>
          <w:szCs w:val="24"/>
        </w:rPr>
        <w:t xml:space="preserve"> K€</w:t>
      </w:r>
      <w:r w:rsidR="00B63471" w:rsidRPr="000B5123">
        <w:rPr>
          <w:rFonts w:ascii="Arial" w:hAnsi="Arial" w:cs="Arial"/>
          <w:sz w:val="24"/>
          <w:szCs w:val="24"/>
        </w:rPr>
        <w:t xml:space="preserve"> = 201 K€)</w:t>
      </w:r>
      <w:r w:rsidR="007E1FB8" w:rsidRPr="000B5123">
        <w:rPr>
          <w:rFonts w:ascii="Arial" w:hAnsi="Arial" w:cs="Arial"/>
          <w:sz w:val="24"/>
          <w:szCs w:val="24"/>
        </w:rPr>
        <w:t xml:space="preserve"> viennent diminuer le report à nouveau pour 166 K€ et les provisions réglementées pour 36 K€</w:t>
      </w:r>
      <w:r w:rsidR="00DC2688" w:rsidRPr="000B5123">
        <w:rPr>
          <w:rFonts w:ascii="Arial" w:hAnsi="Arial" w:cs="Arial"/>
          <w:sz w:val="24"/>
          <w:szCs w:val="24"/>
        </w:rPr>
        <w:t xml:space="preserve"> ; </w:t>
      </w:r>
      <w:r w:rsidR="00C27825" w:rsidRPr="000B5123">
        <w:rPr>
          <w:rFonts w:ascii="Arial" w:hAnsi="Arial" w:cs="Arial"/>
          <w:sz w:val="24"/>
          <w:szCs w:val="24"/>
        </w:rPr>
        <w:t xml:space="preserve">le report à nouveau </w:t>
      </w:r>
      <w:r w:rsidR="00DC2688" w:rsidRPr="000B5123">
        <w:rPr>
          <w:rFonts w:ascii="Arial" w:hAnsi="Arial" w:cs="Arial"/>
          <w:sz w:val="24"/>
          <w:szCs w:val="24"/>
        </w:rPr>
        <w:t>de la gestion encadrée</w:t>
      </w:r>
      <w:r w:rsidR="005D404D" w:rsidRPr="000B5123">
        <w:rPr>
          <w:rFonts w:ascii="Arial" w:hAnsi="Arial" w:cs="Arial"/>
          <w:sz w:val="24"/>
          <w:szCs w:val="24"/>
        </w:rPr>
        <w:t xml:space="preserve"> s’établit à -</w:t>
      </w:r>
      <w:r w:rsidR="006E7D82">
        <w:rPr>
          <w:rFonts w:ascii="Arial" w:hAnsi="Arial" w:cs="Arial"/>
          <w:sz w:val="24"/>
          <w:szCs w:val="24"/>
        </w:rPr>
        <w:t xml:space="preserve"> </w:t>
      </w:r>
      <w:r w:rsidR="00533F22" w:rsidRPr="000B5123">
        <w:rPr>
          <w:rFonts w:ascii="Arial" w:hAnsi="Arial" w:cs="Arial"/>
          <w:sz w:val="24"/>
          <w:szCs w:val="24"/>
        </w:rPr>
        <w:t>692</w:t>
      </w:r>
      <w:r w:rsidR="005D404D" w:rsidRPr="000B5123">
        <w:rPr>
          <w:rFonts w:ascii="Arial" w:hAnsi="Arial" w:cs="Arial"/>
          <w:sz w:val="24"/>
          <w:szCs w:val="24"/>
        </w:rPr>
        <w:t xml:space="preserve"> K€</w:t>
      </w:r>
      <w:r w:rsidR="00DC2688" w:rsidRPr="000B5123">
        <w:rPr>
          <w:rFonts w:ascii="Arial" w:hAnsi="Arial" w:cs="Arial"/>
          <w:sz w:val="24"/>
          <w:szCs w:val="24"/>
        </w:rPr>
        <w:t xml:space="preserve"> fin 2023</w:t>
      </w:r>
      <w:r w:rsidR="005D404D" w:rsidRPr="000B5123">
        <w:rPr>
          <w:rFonts w:ascii="Arial" w:hAnsi="Arial" w:cs="Arial"/>
          <w:sz w:val="24"/>
          <w:szCs w:val="24"/>
        </w:rPr>
        <w:t xml:space="preserve">. </w:t>
      </w:r>
      <w:r w:rsidR="00EF2725" w:rsidRPr="000B5123">
        <w:rPr>
          <w:rFonts w:ascii="Arial" w:hAnsi="Arial" w:cs="Arial"/>
          <w:sz w:val="24"/>
          <w:szCs w:val="24"/>
        </w:rPr>
        <w:t>Le report à nouveau global</w:t>
      </w:r>
      <w:r w:rsidR="00DC2688" w:rsidRPr="000B5123">
        <w:rPr>
          <w:rFonts w:ascii="Arial" w:hAnsi="Arial" w:cs="Arial"/>
          <w:sz w:val="24"/>
          <w:szCs w:val="24"/>
        </w:rPr>
        <w:t xml:space="preserve">, </w:t>
      </w:r>
      <w:r w:rsidR="00EF2725" w:rsidRPr="000B5123">
        <w:rPr>
          <w:rFonts w:ascii="Arial" w:hAnsi="Arial" w:cs="Arial"/>
          <w:sz w:val="24"/>
          <w:szCs w:val="24"/>
        </w:rPr>
        <w:t>positif fin 2021</w:t>
      </w:r>
      <w:r w:rsidR="004E4B75" w:rsidRPr="000B5123">
        <w:rPr>
          <w:rFonts w:ascii="Arial" w:hAnsi="Arial" w:cs="Arial"/>
          <w:sz w:val="24"/>
          <w:szCs w:val="24"/>
        </w:rPr>
        <w:t xml:space="preserve"> (405 K€)</w:t>
      </w:r>
      <w:r w:rsidR="00DC2688" w:rsidRPr="000B5123">
        <w:rPr>
          <w:rFonts w:ascii="Arial" w:hAnsi="Arial" w:cs="Arial"/>
          <w:sz w:val="24"/>
          <w:szCs w:val="24"/>
        </w:rPr>
        <w:t xml:space="preserve">, </w:t>
      </w:r>
      <w:r w:rsidR="00EF2725" w:rsidRPr="000B5123">
        <w:rPr>
          <w:rFonts w:ascii="Arial" w:hAnsi="Arial" w:cs="Arial"/>
          <w:sz w:val="24"/>
          <w:szCs w:val="24"/>
        </w:rPr>
        <w:t>redevient négatif</w:t>
      </w:r>
      <w:r w:rsidR="00DC2688" w:rsidRPr="000B5123">
        <w:rPr>
          <w:rFonts w:ascii="Arial" w:hAnsi="Arial" w:cs="Arial"/>
          <w:sz w:val="24"/>
          <w:szCs w:val="24"/>
        </w:rPr>
        <w:t xml:space="preserve"> fin 202</w:t>
      </w:r>
      <w:r w:rsidR="005321FB" w:rsidRPr="000B5123">
        <w:rPr>
          <w:rFonts w:ascii="Arial" w:hAnsi="Arial" w:cs="Arial"/>
          <w:sz w:val="24"/>
          <w:szCs w:val="24"/>
        </w:rPr>
        <w:t>2</w:t>
      </w:r>
      <w:r w:rsidR="004E4B75" w:rsidRPr="000B5123">
        <w:rPr>
          <w:rFonts w:ascii="Arial" w:hAnsi="Arial" w:cs="Arial"/>
          <w:sz w:val="24"/>
          <w:szCs w:val="24"/>
        </w:rPr>
        <w:t xml:space="preserve">, </w:t>
      </w:r>
      <w:r w:rsidR="00DC2688" w:rsidRPr="000B5123">
        <w:rPr>
          <w:rFonts w:ascii="Arial" w:hAnsi="Arial" w:cs="Arial"/>
          <w:sz w:val="24"/>
          <w:szCs w:val="24"/>
        </w:rPr>
        <w:t>avant affectation des résultats de l’exercice 2023</w:t>
      </w:r>
      <w:r w:rsidR="004E4B75" w:rsidRPr="000B5123">
        <w:rPr>
          <w:rFonts w:ascii="Arial" w:hAnsi="Arial" w:cs="Arial"/>
          <w:sz w:val="24"/>
          <w:szCs w:val="24"/>
        </w:rPr>
        <w:t xml:space="preserve"> (-</w:t>
      </w:r>
      <w:r w:rsidR="006E7D82">
        <w:rPr>
          <w:rFonts w:ascii="Arial" w:hAnsi="Arial" w:cs="Arial"/>
          <w:sz w:val="24"/>
          <w:szCs w:val="24"/>
        </w:rPr>
        <w:t xml:space="preserve"> </w:t>
      </w:r>
      <w:r w:rsidR="004E4B75" w:rsidRPr="000B5123">
        <w:rPr>
          <w:rFonts w:ascii="Arial" w:hAnsi="Arial" w:cs="Arial"/>
          <w:sz w:val="24"/>
          <w:szCs w:val="24"/>
        </w:rPr>
        <w:t>3 085 K€)</w:t>
      </w:r>
      <w:r w:rsidR="00EF2725" w:rsidRPr="000B5123">
        <w:rPr>
          <w:rFonts w:ascii="Arial" w:hAnsi="Arial" w:cs="Arial"/>
          <w:sz w:val="24"/>
          <w:szCs w:val="24"/>
        </w:rPr>
        <w:t>, comme il l’avait été sans discontinuer depuis 2013.</w:t>
      </w:r>
    </w:p>
    <w:p w14:paraId="7DF070D4" w14:textId="67485DC1" w:rsidR="00E06840" w:rsidRPr="000B5123" w:rsidRDefault="00AE0E4D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Le déficit de l’exercice 202</w:t>
      </w:r>
      <w:r w:rsidR="00690BF2" w:rsidRPr="000B5123">
        <w:rPr>
          <w:rFonts w:ascii="Arial" w:hAnsi="Arial" w:cs="Arial"/>
          <w:sz w:val="24"/>
          <w:szCs w:val="24"/>
        </w:rPr>
        <w:t>3</w:t>
      </w:r>
      <w:r w:rsidRPr="000B5123">
        <w:rPr>
          <w:rFonts w:ascii="Arial" w:hAnsi="Arial" w:cs="Arial"/>
          <w:sz w:val="24"/>
          <w:szCs w:val="24"/>
        </w:rPr>
        <w:t>, soit -</w:t>
      </w:r>
      <w:r w:rsidR="006E7D82">
        <w:rPr>
          <w:rFonts w:ascii="Arial" w:hAnsi="Arial" w:cs="Arial"/>
          <w:sz w:val="24"/>
          <w:szCs w:val="24"/>
        </w:rPr>
        <w:t xml:space="preserve"> </w:t>
      </w:r>
      <w:r w:rsidRPr="000B5123">
        <w:rPr>
          <w:rFonts w:ascii="Arial" w:hAnsi="Arial" w:cs="Arial"/>
          <w:sz w:val="24"/>
          <w:szCs w:val="24"/>
        </w:rPr>
        <w:t>2 </w:t>
      </w:r>
      <w:r w:rsidR="00690BF2" w:rsidRPr="000B5123">
        <w:rPr>
          <w:rFonts w:ascii="Arial" w:hAnsi="Arial" w:cs="Arial"/>
          <w:sz w:val="24"/>
          <w:szCs w:val="24"/>
        </w:rPr>
        <w:t>032</w:t>
      </w:r>
      <w:r w:rsidRPr="000B5123">
        <w:rPr>
          <w:rFonts w:ascii="Arial" w:hAnsi="Arial" w:cs="Arial"/>
          <w:sz w:val="24"/>
          <w:szCs w:val="24"/>
        </w:rPr>
        <w:t xml:space="preserve"> K€, réparti entre l’activité encadrée (-</w:t>
      </w:r>
      <w:r w:rsidR="006E7D82">
        <w:rPr>
          <w:rFonts w:ascii="Arial" w:hAnsi="Arial" w:cs="Arial"/>
          <w:sz w:val="24"/>
          <w:szCs w:val="24"/>
        </w:rPr>
        <w:t xml:space="preserve"> </w:t>
      </w:r>
      <w:r w:rsidR="00690BF2" w:rsidRPr="000B5123">
        <w:rPr>
          <w:rFonts w:ascii="Arial" w:hAnsi="Arial" w:cs="Arial"/>
          <w:sz w:val="24"/>
          <w:szCs w:val="24"/>
        </w:rPr>
        <w:t>128</w:t>
      </w:r>
      <w:r w:rsidRPr="000B5123">
        <w:rPr>
          <w:rFonts w:ascii="Arial" w:hAnsi="Arial" w:cs="Arial"/>
          <w:sz w:val="24"/>
          <w:szCs w:val="24"/>
        </w:rPr>
        <w:t xml:space="preserve"> K€) et la gestion libre (- </w:t>
      </w:r>
      <w:r w:rsidR="00690BF2" w:rsidRPr="000B5123">
        <w:rPr>
          <w:rFonts w:ascii="Arial" w:hAnsi="Arial" w:cs="Arial"/>
          <w:sz w:val="24"/>
          <w:szCs w:val="24"/>
        </w:rPr>
        <w:t>1 904</w:t>
      </w:r>
      <w:r w:rsidRPr="000B5123">
        <w:rPr>
          <w:rFonts w:ascii="Arial" w:hAnsi="Arial" w:cs="Arial"/>
          <w:sz w:val="24"/>
          <w:szCs w:val="24"/>
        </w:rPr>
        <w:t xml:space="preserve"> K€), vient réduire les fonds propres au 31 décembre 202</w:t>
      </w:r>
      <w:r w:rsidR="00690BF2" w:rsidRPr="000B5123">
        <w:rPr>
          <w:rFonts w:ascii="Arial" w:hAnsi="Arial" w:cs="Arial"/>
          <w:sz w:val="24"/>
          <w:szCs w:val="24"/>
        </w:rPr>
        <w:t>3</w:t>
      </w:r>
      <w:r w:rsidRPr="000B5123">
        <w:rPr>
          <w:rFonts w:ascii="Arial" w:hAnsi="Arial" w:cs="Arial"/>
          <w:sz w:val="24"/>
          <w:szCs w:val="24"/>
        </w:rPr>
        <w:t>.</w:t>
      </w:r>
    </w:p>
    <w:p w14:paraId="59110D27" w14:textId="1F2299C9" w:rsidR="006E4854" w:rsidRPr="000B5123" w:rsidRDefault="006E4854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Les fonds reportés</w:t>
      </w:r>
      <w:r w:rsidR="00AE0E4D" w:rsidRPr="000B5123">
        <w:rPr>
          <w:rFonts w:ascii="Arial" w:hAnsi="Arial" w:cs="Arial"/>
          <w:sz w:val="24"/>
          <w:szCs w:val="24"/>
        </w:rPr>
        <w:t xml:space="preserve"> liés aux legs et donations</w:t>
      </w:r>
      <w:r w:rsidRPr="000B5123">
        <w:rPr>
          <w:rFonts w:ascii="Arial" w:hAnsi="Arial" w:cs="Arial"/>
          <w:sz w:val="24"/>
          <w:szCs w:val="24"/>
        </w:rPr>
        <w:t xml:space="preserve"> représentent la valeur nette des legs</w:t>
      </w:r>
      <w:r w:rsidR="00DA2418" w:rsidRPr="000B5123">
        <w:rPr>
          <w:rFonts w:ascii="Arial" w:hAnsi="Arial" w:cs="Arial"/>
          <w:sz w:val="24"/>
          <w:szCs w:val="24"/>
        </w:rPr>
        <w:t xml:space="preserve"> en</w:t>
      </w:r>
      <w:r w:rsidRPr="000B5123">
        <w:rPr>
          <w:rFonts w:ascii="Arial" w:hAnsi="Arial" w:cs="Arial"/>
          <w:sz w:val="24"/>
          <w:szCs w:val="24"/>
        </w:rPr>
        <w:t xml:space="preserve"> stoc</w:t>
      </w:r>
      <w:r w:rsidR="00DA2418" w:rsidRPr="000B5123">
        <w:rPr>
          <w:rFonts w:ascii="Arial" w:hAnsi="Arial" w:cs="Arial"/>
          <w:sz w:val="24"/>
          <w:szCs w:val="24"/>
        </w:rPr>
        <w:t>k (</w:t>
      </w:r>
      <w:r w:rsidR="00690BF2" w:rsidRPr="000B5123">
        <w:rPr>
          <w:rFonts w:ascii="Arial" w:hAnsi="Arial" w:cs="Arial"/>
          <w:sz w:val="24"/>
          <w:szCs w:val="24"/>
        </w:rPr>
        <w:t xml:space="preserve">6 636 K€ contre </w:t>
      </w:r>
      <w:r w:rsidR="00AE0E4D" w:rsidRPr="000B5123">
        <w:rPr>
          <w:rFonts w:ascii="Arial" w:hAnsi="Arial" w:cs="Arial"/>
          <w:sz w:val="24"/>
          <w:szCs w:val="24"/>
        </w:rPr>
        <w:t>5 061 K</w:t>
      </w:r>
      <w:r w:rsidR="005C5809" w:rsidRPr="000B5123">
        <w:rPr>
          <w:rFonts w:ascii="Arial" w:hAnsi="Arial" w:cs="Arial"/>
          <w:sz w:val="24"/>
          <w:szCs w:val="24"/>
        </w:rPr>
        <w:t>€ fin</w:t>
      </w:r>
      <w:r w:rsidR="00DA2418" w:rsidRPr="000B5123">
        <w:rPr>
          <w:rFonts w:ascii="Arial" w:hAnsi="Arial" w:cs="Arial"/>
          <w:sz w:val="24"/>
          <w:szCs w:val="24"/>
        </w:rPr>
        <w:t xml:space="preserve"> 202</w:t>
      </w:r>
      <w:r w:rsidR="00690BF2" w:rsidRPr="000B5123">
        <w:rPr>
          <w:rFonts w:ascii="Arial" w:hAnsi="Arial" w:cs="Arial"/>
          <w:sz w:val="24"/>
          <w:szCs w:val="24"/>
        </w:rPr>
        <w:t>2</w:t>
      </w:r>
      <w:r w:rsidR="00DA2418" w:rsidRPr="000B5123">
        <w:rPr>
          <w:rFonts w:ascii="Arial" w:hAnsi="Arial" w:cs="Arial"/>
          <w:sz w:val="24"/>
          <w:szCs w:val="24"/>
        </w:rPr>
        <w:t>).</w:t>
      </w:r>
    </w:p>
    <w:p w14:paraId="4CA69915" w14:textId="436D4348" w:rsidR="00C06577" w:rsidRPr="000B5123" w:rsidRDefault="00E06840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Les fonds dédiés inscrits </w:t>
      </w:r>
      <w:r w:rsidR="007C5133" w:rsidRPr="000B5123">
        <w:rPr>
          <w:rFonts w:ascii="Arial" w:hAnsi="Arial" w:cs="Arial"/>
          <w:sz w:val="24"/>
          <w:szCs w:val="24"/>
        </w:rPr>
        <w:t xml:space="preserve">s’établissent à </w:t>
      </w:r>
      <w:r w:rsidR="00690BF2" w:rsidRPr="000B5123">
        <w:rPr>
          <w:rFonts w:ascii="Arial" w:hAnsi="Arial" w:cs="Arial"/>
          <w:sz w:val="24"/>
          <w:szCs w:val="24"/>
        </w:rPr>
        <w:t xml:space="preserve">2 593 K€ contre </w:t>
      </w:r>
      <w:r w:rsidR="00AE0E4D" w:rsidRPr="000B5123">
        <w:rPr>
          <w:rFonts w:ascii="Arial" w:hAnsi="Arial" w:cs="Arial"/>
          <w:sz w:val="24"/>
          <w:szCs w:val="24"/>
        </w:rPr>
        <w:t>2 651 K€ fin 2022</w:t>
      </w:r>
      <w:r w:rsidR="00690BF2" w:rsidRPr="000B5123">
        <w:rPr>
          <w:rFonts w:ascii="Arial" w:hAnsi="Arial" w:cs="Arial"/>
          <w:sz w:val="24"/>
          <w:szCs w:val="24"/>
        </w:rPr>
        <w:t>.</w:t>
      </w:r>
    </w:p>
    <w:p w14:paraId="6980B1E4" w14:textId="41BAAB05" w:rsidR="00894117" w:rsidRPr="000B5123" w:rsidRDefault="00894117" w:rsidP="00F26BCA">
      <w:pPr>
        <w:spacing w:after="0"/>
        <w:ind w:left="851"/>
        <w:rPr>
          <w:rFonts w:ascii="Arial" w:hAnsi="Arial" w:cs="Arial"/>
          <w:color w:val="FF0000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Les Provisions pour Risques et Charges </w:t>
      </w:r>
      <w:r w:rsidR="00A50C8F" w:rsidRPr="000B5123">
        <w:rPr>
          <w:rFonts w:ascii="Arial" w:hAnsi="Arial" w:cs="Arial"/>
          <w:sz w:val="24"/>
          <w:szCs w:val="24"/>
        </w:rPr>
        <w:t>s’élèvent à</w:t>
      </w:r>
      <w:r w:rsidR="00CF7214" w:rsidRPr="000B5123">
        <w:rPr>
          <w:rFonts w:ascii="Arial" w:hAnsi="Arial" w:cs="Arial"/>
          <w:sz w:val="24"/>
          <w:szCs w:val="24"/>
        </w:rPr>
        <w:t xml:space="preserve"> </w:t>
      </w:r>
      <w:r w:rsidR="00386D2A" w:rsidRPr="000B5123">
        <w:rPr>
          <w:rFonts w:ascii="Arial" w:hAnsi="Arial" w:cs="Arial"/>
          <w:sz w:val="24"/>
          <w:szCs w:val="24"/>
        </w:rPr>
        <w:t xml:space="preserve">3 378 K€ contre </w:t>
      </w:r>
      <w:r w:rsidR="00CF7214" w:rsidRPr="000B5123">
        <w:rPr>
          <w:rFonts w:ascii="Arial" w:hAnsi="Arial" w:cs="Arial"/>
          <w:sz w:val="24"/>
          <w:szCs w:val="24"/>
        </w:rPr>
        <w:t xml:space="preserve">3 332 K€ </w:t>
      </w:r>
      <w:r w:rsidR="00A50C8F" w:rsidRPr="000B5123">
        <w:rPr>
          <w:rFonts w:ascii="Arial" w:hAnsi="Arial" w:cs="Arial"/>
          <w:sz w:val="24"/>
          <w:szCs w:val="24"/>
        </w:rPr>
        <w:t>fin 20</w:t>
      </w:r>
      <w:r w:rsidR="00CD6AEE" w:rsidRPr="000B5123">
        <w:rPr>
          <w:rFonts w:ascii="Arial" w:hAnsi="Arial" w:cs="Arial"/>
          <w:sz w:val="24"/>
          <w:szCs w:val="24"/>
        </w:rPr>
        <w:t>2</w:t>
      </w:r>
      <w:r w:rsidR="00386D2A" w:rsidRPr="000B5123">
        <w:rPr>
          <w:rFonts w:ascii="Arial" w:hAnsi="Arial" w:cs="Arial"/>
          <w:sz w:val="24"/>
          <w:szCs w:val="24"/>
        </w:rPr>
        <w:t>2</w:t>
      </w:r>
      <w:r w:rsidR="007000DF" w:rsidRPr="000B5123">
        <w:rPr>
          <w:rFonts w:ascii="Arial" w:hAnsi="Arial" w:cs="Arial"/>
          <w:sz w:val="24"/>
          <w:szCs w:val="24"/>
        </w:rPr>
        <w:t>. E</w:t>
      </w:r>
      <w:r w:rsidRPr="000B5123">
        <w:rPr>
          <w:rFonts w:ascii="Arial" w:hAnsi="Arial" w:cs="Arial"/>
          <w:sz w:val="24"/>
          <w:szCs w:val="24"/>
        </w:rPr>
        <w:t xml:space="preserve">lles </w:t>
      </w:r>
      <w:r w:rsidR="005B763E" w:rsidRPr="000B5123">
        <w:rPr>
          <w:rFonts w:ascii="Arial" w:hAnsi="Arial" w:cs="Arial"/>
          <w:sz w:val="24"/>
          <w:szCs w:val="24"/>
        </w:rPr>
        <w:t xml:space="preserve">concernent </w:t>
      </w:r>
      <w:r w:rsidRPr="000B5123">
        <w:rPr>
          <w:rFonts w:ascii="Arial" w:hAnsi="Arial" w:cs="Arial"/>
          <w:sz w:val="24"/>
          <w:szCs w:val="24"/>
        </w:rPr>
        <w:t xml:space="preserve">pour l’essentiel la provision pour </w:t>
      </w:r>
      <w:r w:rsidR="005B763E" w:rsidRPr="000B5123">
        <w:rPr>
          <w:rFonts w:ascii="Arial" w:hAnsi="Arial" w:cs="Arial"/>
          <w:sz w:val="24"/>
          <w:szCs w:val="24"/>
        </w:rPr>
        <w:t>indemnité</w:t>
      </w:r>
      <w:r w:rsidR="00276F96" w:rsidRPr="000B5123">
        <w:rPr>
          <w:rFonts w:ascii="Arial" w:hAnsi="Arial" w:cs="Arial"/>
          <w:sz w:val="24"/>
          <w:szCs w:val="24"/>
        </w:rPr>
        <w:t>s</w:t>
      </w:r>
      <w:r w:rsidR="005B763E" w:rsidRPr="000B5123">
        <w:rPr>
          <w:rFonts w:ascii="Arial" w:hAnsi="Arial" w:cs="Arial"/>
          <w:sz w:val="24"/>
          <w:szCs w:val="24"/>
        </w:rPr>
        <w:t xml:space="preserve"> de fin de c</w:t>
      </w:r>
      <w:r w:rsidR="00276F96" w:rsidRPr="000B5123">
        <w:rPr>
          <w:rFonts w:ascii="Arial" w:hAnsi="Arial" w:cs="Arial"/>
          <w:sz w:val="24"/>
          <w:szCs w:val="24"/>
        </w:rPr>
        <w:t>arrière</w:t>
      </w:r>
      <w:r w:rsidRPr="000B5123">
        <w:rPr>
          <w:rFonts w:ascii="Arial" w:hAnsi="Arial" w:cs="Arial"/>
          <w:sz w:val="24"/>
          <w:szCs w:val="24"/>
        </w:rPr>
        <w:t xml:space="preserve"> </w:t>
      </w:r>
      <w:r w:rsidR="00A97E87" w:rsidRPr="000B5123">
        <w:rPr>
          <w:rFonts w:ascii="Arial" w:hAnsi="Arial" w:cs="Arial"/>
          <w:sz w:val="24"/>
          <w:szCs w:val="24"/>
        </w:rPr>
        <w:t>et médaille</w:t>
      </w:r>
      <w:r w:rsidR="004E41CE" w:rsidRPr="000B5123">
        <w:rPr>
          <w:rFonts w:ascii="Arial" w:hAnsi="Arial" w:cs="Arial"/>
          <w:sz w:val="24"/>
          <w:szCs w:val="24"/>
        </w:rPr>
        <w:t>s</w:t>
      </w:r>
      <w:r w:rsidR="00A97E87" w:rsidRPr="000B5123">
        <w:rPr>
          <w:rFonts w:ascii="Arial" w:hAnsi="Arial" w:cs="Arial"/>
          <w:sz w:val="24"/>
          <w:szCs w:val="24"/>
        </w:rPr>
        <w:t xml:space="preserve"> du travail </w:t>
      </w:r>
      <w:r w:rsidR="004E41CE" w:rsidRPr="000B5123">
        <w:rPr>
          <w:rFonts w:ascii="Arial" w:hAnsi="Arial" w:cs="Arial"/>
          <w:sz w:val="24"/>
          <w:szCs w:val="24"/>
        </w:rPr>
        <w:t>(</w:t>
      </w:r>
      <w:r w:rsidR="00386D2A" w:rsidRPr="000B5123">
        <w:rPr>
          <w:rFonts w:ascii="Arial" w:hAnsi="Arial" w:cs="Arial"/>
          <w:sz w:val="24"/>
          <w:szCs w:val="24"/>
        </w:rPr>
        <w:t xml:space="preserve">3 228 K€ contre </w:t>
      </w:r>
      <w:r w:rsidR="00CF7214" w:rsidRPr="000B5123">
        <w:rPr>
          <w:rFonts w:ascii="Arial" w:hAnsi="Arial" w:cs="Arial"/>
          <w:sz w:val="24"/>
          <w:szCs w:val="24"/>
        </w:rPr>
        <w:t xml:space="preserve">2 991 K€ </w:t>
      </w:r>
      <w:r w:rsidR="0016272E" w:rsidRPr="000B5123">
        <w:rPr>
          <w:rFonts w:ascii="Arial" w:hAnsi="Arial" w:cs="Arial"/>
          <w:sz w:val="24"/>
          <w:szCs w:val="24"/>
        </w:rPr>
        <w:t>fin 20</w:t>
      </w:r>
      <w:r w:rsidR="00CD6AEE" w:rsidRPr="000B5123">
        <w:rPr>
          <w:rFonts w:ascii="Arial" w:hAnsi="Arial" w:cs="Arial"/>
          <w:sz w:val="24"/>
          <w:szCs w:val="24"/>
        </w:rPr>
        <w:t>2</w:t>
      </w:r>
      <w:r w:rsidR="00386D2A" w:rsidRPr="000B5123">
        <w:rPr>
          <w:rFonts w:ascii="Arial" w:hAnsi="Arial" w:cs="Arial"/>
          <w:sz w:val="24"/>
          <w:szCs w:val="24"/>
        </w:rPr>
        <w:t>2</w:t>
      </w:r>
      <w:r w:rsidR="00CF7214" w:rsidRPr="000B5123">
        <w:rPr>
          <w:rFonts w:ascii="Arial" w:hAnsi="Arial" w:cs="Arial"/>
          <w:sz w:val="24"/>
          <w:szCs w:val="24"/>
        </w:rPr>
        <w:t xml:space="preserve">) qui </w:t>
      </w:r>
      <w:r w:rsidR="008E7198" w:rsidRPr="000B5123">
        <w:rPr>
          <w:rFonts w:ascii="Arial" w:hAnsi="Arial" w:cs="Arial"/>
          <w:sz w:val="24"/>
          <w:szCs w:val="24"/>
        </w:rPr>
        <w:t>s’accroît de</w:t>
      </w:r>
      <w:r w:rsidR="00CF7214" w:rsidRPr="000B5123">
        <w:rPr>
          <w:rFonts w:ascii="Arial" w:hAnsi="Arial" w:cs="Arial"/>
          <w:sz w:val="24"/>
          <w:szCs w:val="24"/>
        </w:rPr>
        <w:t xml:space="preserve"> </w:t>
      </w:r>
      <w:r w:rsidR="00386D2A" w:rsidRPr="000B5123">
        <w:rPr>
          <w:rFonts w:ascii="Arial" w:hAnsi="Arial" w:cs="Arial"/>
          <w:sz w:val="24"/>
          <w:szCs w:val="24"/>
        </w:rPr>
        <w:t>23</w:t>
      </w:r>
      <w:r w:rsidR="00CF7214" w:rsidRPr="000B5123">
        <w:rPr>
          <w:rFonts w:ascii="Arial" w:hAnsi="Arial" w:cs="Arial"/>
          <w:sz w:val="24"/>
          <w:szCs w:val="24"/>
        </w:rPr>
        <w:t xml:space="preserve">7 K€ principalement sous l’effet de la hausse des </w:t>
      </w:r>
      <w:r w:rsidR="008E7198" w:rsidRPr="000B5123">
        <w:rPr>
          <w:rFonts w:ascii="Arial" w:hAnsi="Arial" w:cs="Arial"/>
          <w:sz w:val="24"/>
          <w:szCs w:val="24"/>
        </w:rPr>
        <w:t xml:space="preserve">salaires </w:t>
      </w:r>
      <w:r w:rsidR="003506EA" w:rsidRPr="000B5123">
        <w:rPr>
          <w:rFonts w:ascii="Arial" w:hAnsi="Arial" w:cs="Arial"/>
          <w:sz w:val="24"/>
          <w:szCs w:val="24"/>
        </w:rPr>
        <w:t>utilisés pour les calculs</w:t>
      </w:r>
      <w:r w:rsidR="00CF7214" w:rsidRPr="000B5123">
        <w:rPr>
          <w:rFonts w:ascii="Arial" w:hAnsi="Arial" w:cs="Arial"/>
          <w:sz w:val="24"/>
          <w:szCs w:val="24"/>
        </w:rPr>
        <w:t>.</w:t>
      </w:r>
    </w:p>
    <w:p w14:paraId="0935586A" w14:textId="3A2B9F07" w:rsidR="00894117" w:rsidRPr="000B5123" w:rsidRDefault="00894117" w:rsidP="00F26BCA">
      <w:pPr>
        <w:spacing w:after="0"/>
        <w:ind w:left="851"/>
        <w:rPr>
          <w:rFonts w:ascii="Arial" w:hAnsi="Arial" w:cs="Arial"/>
          <w:color w:val="000000" w:themeColor="text1"/>
          <w:sz w:val="24"/>
          <w:szCs w:val="24"/>
        </w:rPr>
      </w:pPr>
      <w:r w:rsidRPr="000B5123">
        <w:rPr>
          <w:rFonts w:ascii="Arial" w:hAnsi="Arial" w:cs="Arial"/>
          <w:color w:val="000000" w:themeColor="text1"/>
          <w:sz w:val="24"/>
          <w:szCs w:val="24"/>
        </w:rPr>
        <w:t xml:space="preserve">Les emprunts </w:t>
      </w:r>
      <w:r w:rsidR="002D2579" w:rsidRPr="000B5123">
        <w:rPr>
          <w:rFonts w:ascii="Arial" w:hAnsi="Arial" w:cs="Arial"/>
          <w:color w:val="000000" w:themeColor="text1"/>
          <w:sz w:val="24"/>
          <w:szCs w:val="24"/>
        </w:rPr>
        <w:t xml:space="preserve">à moyen et long terme </w:t>
      </w:r>
      <w:r w:rsidRPr="000B5123">
        <w:rPr>
          <w:rFonts w:ascii="Arial" w:hAnsi="Arial" w:cs="Arial"/>
          <w:color w:val="000000" w:themeColor="text1"/>
          <w:sz w:val="24"/>
          <w:szCs w:val="24"/>
        </w:rPr>
        <w:t>auprès des établissements de crédit s</w:t>
      </w:r>
      <w:r w:rsidR="0016272E" w:rsidRPr="000B5123">
        <w:rPr>
          <w:rFonts w:ascii="Arial" w:hAnsi="Arial" w:cs="Arial"/>
          <w:color w:val="000000" w:themeColor="text1"/>
          <w:sz w:val="24"/>
          <w:szCs w:val="24"/>
        </w:rPr>
        <w:t xml:space="preserve">e situent </w:t>
      </w:r>
      <w:r w:rsidR="00637C50" w:rsidRPr="000B5123">
        <w:rPr>
          <w:rFonts w:ascii="Arial" w:hAnsi="Arial" w:cs="Arial"/>
          <w:color w:val="000000" w:themeColor="text1"/>
          <w:sz w:val="24"/>
          <w:szCs w:val="24"/>
        </w:rPr>
        <w:t>à</w:t>
      </w:r>
      <w:r w:rsidR="004E41CE" w:rsidRPr="000B51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7198" w:rsidRPr="000B5123">
        <w:rPr>
          <w:rFonts w:ascii="Arial" w:hAnsi="Arial" w:cs="Arial"/>
          <w:color w:val="000000" w:themeColor="text1"/>
          <w:sz w:val="24"/>
          <w:szCs w:val="24"/>
        </w:rPr>
        <w:t xml:space="preserve">7 768 </w:t>
      </w:r>
      <w:r w:rsidR="00984F4A" w:rsidRPr="000B5123">
        <w:rPr>
          <w:rFonts w:ascii="Arial" w:hAnsi="Arial" w:cs="Arial"/>
          <w:color w:val="000000" w:themeColor="text1"/>
          <w:sz w:val="24"/>
          <w:szCs w:val="24"/>
        </w:rPr>
        <w:t xml:space="preserve">K€ </w:t>
      </w:r>
      <w:r w:rsidR="008E7198" w:rsidRPr="000B5123">
        <w:rPr>
          <w:rFonts w:ascii="Arial" w:hAnsi="Arial" w:cs="Arial"/>
          <w:color w:val="000000" w:themeColor="text1"/>
          <w:sz w:val="24"/>
          <w:szCs w:val="24"/>
        </w:rPr>
        <w:t xml:space="preserve">contre </w:t>
      </w:r>
      <w:r w:rsidR="00CF7214" w:rsidRPr="000B5123">
        <w:rPr>
          <w:rFonts w:ascii="Arial" w:hAnsi="Arial" w:cs="Arial"/>
          <w:color w:val="000000" w:themeColor="text1"/>
          <w:sz w:val="24"/>
          <w:szCs w:val="24"/>
        </w:rPr>
        <w:t>7 75</w:t>
      </w:r>
      <w:r w:rsidR="008E7198" w:rsidRPr="000B5123">
        <w:rPr>
          <w:rFonts w:ascii="Arial" w:hAnsi="Arial" w:cs="Arial"/>
          <w:color w:val="000000" w:themeColor="text1"/>
          <w:sz w:val="24"/>
          <w:szCs w:val="24"/>
        </w:rPr>
        <w:t>2</w:t>
      </w:r>
      <w:r w:rsidR="00CF7214" w:rsidRPr="000B5123">
        <w:rPr>
          <w:rFonts w:ascii="Arial" w:hAnsi="Arial" w:cs="Arial"/>
          <w:color w:val="000000" w:themeColor="text1"/>
          <w:sz w:val="24"/>
          <w:szCs w:val="24"/>
        </w:rPr>
        <w:t xml:space="preserve"> K€ </w:t>
      </w:r>
      <w:r w:rsidR="004E41CE" w:rsidRPr="000B5123">
        <w:rPr>
          <w:rFonts w:ascii="Arial" w:hAnsi="Arial" w:cs="Arial"/>
          <w:color w:val="000000" w:themeColor="text1"/>
          <w:sz w:val="24"/>
          <w:szCs w:val="24"/>
        </w:rPr>
        <w:t>fin 202</w:t>
      </w:r>
      <w:r w:rsidR="008E7198" w:rsidRPr="000B5123">
        <w:rPr>
          <w:rFonts w:ascii="Arial" w:hAnsi="Arial" w:cs="Arial"/>
          <w:color w:val="000000" w:themeColor="text1"/>
          <w:sz w:val="24"/>
          <w:szCs w:val="24"/>
        </w:rPr>
        <w:t>2</w:t>
      </w:r>
      <w:r w:rsidR="005B763E" w:rsidRPr="000B5123">
        <w:rPr>
          <w:rFonts w:ascii="Arial" w:hAnsi="Arial" w:cs="Arial"/>
          <w:color w:val="000000" w:themeColor="text1"/>
          <w:sz w:val="24"/>
          <w:szCs w:val="24"/>
        </w:rPr>
        <w:t>,</w:t>
      </w:r>
      <w:r w:rsidRPr="000B5123">
        <w:rPr>
          <w:rFonts w:ascii="Arial" w:hAnsi="Arial" w:cs="Arial"/>
          <w:color w:val="000000" w:themeColor="text1"/>
          <w:sz w:val="24"/>
          <w:szCs w:val="24"/>
        </w:rPr>
        <w:t xml:space="preserve"> soit une </w:t>
      </w:r>
      <w:r w:rsidR="008E7198" w:rsidRPr="000B5123">
        <w:rPr>
          <w:rFonts w:ascii="Arial" w:hAnsi="Arial" w:cs="Arial"/>
          <w:color w:val="000000" w:themeColor="text1"/>
          <w:sz w:val="24"/>
          <w:szCs w:val="24"/>
        </w:rPr>
        <w:t xml:space="preserve">progression </w:t>
      </w:r>
      <w:r w:rsidR="00CF7214" w:rsidRPr="000B5123">
        <w:rPr>
          <w:rFonts w:ascii="Arial" w:hAnsi="Arial" w:cs="Arial"/>
          <w:color w:val="000000" w:themeColor="text1"/>
          <w:sz w:val="24"/>
          <w:szCs w:val="24"/>
        </w:rPr>
        <w:t xml:space="preserve">provenant </w:t>
      </w:r>
      <w:r w:rsidR="008E7198" w:rsidRPr="000B5123">
        <w:rPr>
          <w:rFonts w:ascii="Arial" w:hAnsi="Arial" w:cs="Arial"/>
          <w:color w:val="000000" w:themeColor="text1"/>
          <w:sz w:val="24"/>
          <w:szCs w:val="24"/>
        </w:rPr>
        <w:t xml:space="preserve">de la souscription d’un </w:t>
      </w:r>
      <w:r w:rsidR="008E7198" w:rsidRPr="000B5123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nouvel emprunt de 950 K€ </w:t>
      </w:r>
      <w:r w:rsidR="004E4B75" w:rsidRPr="000B5123">
        <w:rPr>
          <w:rFonts w:ascii="Arial" w:hAnsi="Arial" w:cs="Arial"/>
          <w:color w:val="000000" w:themeColor="text1"/>
          <w:sz w:val="24"/>
          <w:szCs w:val="24"/>
        </w:rPr>
        <w:t xml:space="preserve">diminuée </w:t>
      </w:r>
      <w:r w:rsidR="00CF7214" w:rsidRPr="000B5123">
        <w:rPr>
          <w:rFonts w:ascii="Arial" w:hAnsi="Arial" w:cs="Arial"/>
          <w:color w:val="000000" w:themeColor="text1"/>
          <w:sz w:val="24"/>
          <w:szCs w:val="24"/>
        </w:rPr>
        <w:t xml:space="preserve">du remboursement de </w:t>
      </w:r>
      <w:r w:rsidR="008E7198" w:rsidRPr="000B5123">
        <w:rPr>
          <w:rFonts w:ascii="Arial" w:hAnsi="Arial" w:cs="Arial"/>
          <w:color w:val="000000" w:themeColor="text1"/>
          <w:sz w:val="24"/>
          <w:szCs w:val="24"/>
        </w:rPr>
        <w:t>934</w:t>
      </w:r>
      <w:r w:rsidR="00A579B5" w:rsidRPr="000B5123">
        <w:rPr>
          <w:rFonts w:ascii="Arial" w:hAnsi="Arial" w:cs="Arial"/>
          <w:color w:val="000000" w:themeColor="text1"/>
          <w:sz w:val="24"/>
          <w:szCs w:val="24"/>
        </w:rPr>
        <w:t xml:space="preserve"> K€ en capital en 2022. </w:t>
      </w:r>
      <w:r w:rsidR="005B763E" w:rsidRPr="000B5123">
        <w:rPr>
          <w:rFonts w:ascii="Arial" w:hAnsi="Arial" w:cs="Arial"/>
          <w:color w:val="000000" w:themeColor="text1"/>
          <w:sz w:val="24"/>
          <w:szCs w:val="24"/>
        </w:rPr>
        <w:t xml:space="preserve">Une somme de </w:t>
      </w:r>
      <w:r w:rsidR="008E7198" w:rsidRPr="000B5123">
        <w:rPr>
          <w:rFonts w:ascii="Arial" w:hAnsi="Arial" w:cs="Arial"/>
          <w:color w:val="000000" w:themeColor="text1"/>
          <w:sz w:val="24"/>
          <w:szCs w:val="24"/>
        </w:rPr>
        <w:t>842</w:t>
      </w:r>
      <w:r w:rsidR="009A2FAA" w:rsidRPr="000B5123">
        <w:rPr>
          <w:rFonts w:ascii="Arial" w:hAnsi="Arial" w:cs="Arial"/>
          <w:sz w:val="24"/>
          <w:szCs w:val="24"/>
        </w:rPr>
        <w:t xml:space="preserve"> </w:t>
      </w:r>
      <w:r w:rsidR="005B763E" w:rsidRPr="000B5123">
        <w:rPr>
          <w:rFonts w:ascii="Arial" w:hAnsi="Arial" w:cs="Arial"/>
          <w:color w:val="000000" w:themeColor="text1"/>
          <w:sz w:val="24"/>
          <w:szCs w:val="24"/>
        </w:rPr>
        <w:t>K€ inclus</w:t>
      </w:r>
      <w:r w:rsidR="00C800FF" w:rsidRPr="000B5123">
        <w:rPr>
          <w:rFonts w:ascii="Arial" w:hAnsi="Arial" w:cs="Arial"/>
          <w:color w:val="000000" w:themeColor="text1"/>
          <w:sz w:val="24"/>
          <w:szCs w:val="24"/>
        </w:rPr>
        <w:t>e</w:t>
      </w:r>
      <w:r w:rsidR="005B763E" w:rsidRPr="000B5123">
        <w:rPr>
          <w:rFonts w:ascii="Arial" w:hAnsi="Arial" w:cs="Arial"/>
          <w:color w:val="000000" w:themeColor="text1"/>
          <w:sz w:val="24"/>
          <w:szCs w:val="24"/>
        </w:rPr>
        <w:t xml:space="preserve"> dans ce total </w:t>
      </w:r>
      <w:r w:rsidR="00DA58AB" w:rsidRPr="000B5123">
        <w:rPr>
          <w:rFonts w:ascii="Arial" w:hAnsi="Arial" w:cs="Arial"/>
          <w:color w:val="000000" w:themeColor="text1"/>
          <w:sz w:val="24"/>
          <w:szCs w:val="24"/>
        </w:rPr>
        <w:t xml:space="preserve">est </w:t>
      </w:r>
      <w:r w:rsidR="005B763E" w:rsidRPr="000B5123">
        <w:rPr>
          <w:rFonts w:ascii="Arial" w:hAnsi="Arial" w:cs="Arial"/>
          <w:color w:val="000000" w:themeColor="text1"/>
          <w:sz w:val="24"/>
          <w:szCs w:val="24"/>
        </w:rPr>
        <w:t>à rembourser en 20</w:t>
      </w:r>
      <w:r w:rsidR="00CD037C" w:rsidRPr="000B5123">
        <w:rPr>
          <w:rFonts w:ascii="Arial" w:hAnsi="Arial" w:cs="Arial"/>
          <w:color w:val="000000" w:themeColor="text1"/>
          <w:sz w:val="24"/>
          <w:szCs w:val="24"/>
        </w:rPr>
        <w:t>2</w:t>
      </w:r>
      <w:r w:rsidR="008E7198" w:rsidRPr="000B5123">
        <w:rPr>
          <w:rFonts w:ascii="Arial" w:hAnsi="Arial" w:cs="Arial"/>
          <w:color w:val="000000" w:themeColor="text1"/>
          <w:sz w:val="24"/>
          <w:szCs w:val="24"/>
        </w:rPr>
        <w:t>4.</w:t>
      </w:r>
      <w:r w:rsidR="00A579B5" w:rsidRPr="000B51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E8D9327" w14:textId="761F372E" w:rsidR="00C13611" w:rsidRPr="000B5123" w:rsidRDefault="00894117" w:rsidP="00F26BCA">
      <w:pPr>
        <w:spacing w:after="0"/>
        <w:ind w:left="851"/>
        <w:rPr>
          <w:rFonts w:ascii="Arial" w:hAnsi="Arial" w:cs="Arial"/>
          <w:color w:val="000000" w:themeColor="text1"/>
          <w:sz w:val="24"/>
          <w:szCs w:val="24"/>
        </w:rPr>
      </w:pPr>
      <w:r w:rsidRPr="000B5123">
        <w:rPr>
          <w:rFonts w:ascii="Arial" w:hAnsi="Arial" w:cs="Arial"/>
          <w:color w:val="000000" w:themeColor="text1"/>
          <w:sz w:val="24"/>
          <w:szCs w:val="24"/>
        </w:rPr>
        <w:t>Les autres postes du passif sont les dettes Fournisseurs (</w:t>
      </w:r>
      <w:r w:rsidR="00984F4A" w:rsidRPr="000B5123">
        <w:rPr>
          <w:rFonts w:ascii="Arial" w:hAnsi="Arial" w:cs="Arial"/>
          <w:color w:val="000000" w:themeColor="text1"/>
          <w:sz w:val="24"/>
          <w:szCs w:val="24"/>
        </w:rPr>
        <w:t xml:space="preserve">1 366 K€ contre </w:t>
      </w:r>
      <w:r w:rsidR="00A579B5" w:rsidRPr="000B5123">
        <w:rPr>
          <w:rFonts w:ascii="Arial" w:hAnsi="Arial" w:cs="Arial"/>
          <w:color w:val="000000" w:themeColor="text1"/>
          <w:sz w:val="24"/>
          <w:szCs w:val="24"/>
        </w:rPr>
        <w:t xml:space="preserve">1 442 K€ </w:t>
      </w:r>
      <w:r w:rsidR="00984F4A" w:rsidRPr="000B5123">
        <w:rPr>
          <w:rFonts w:ascii="Arial" w:hAnsi="Arial" w:cs="Arial"/>
          <w:color w:val="000000" w:themeColor="text1"/>
          <w:sz w:val="24"/>
          <w:szCs w:val="24"/>
        </w:rPr>
        <w:t>fin 2022</w:t>
      </w:r>
      <w:r w:rsidR="00AA7194" w:rsidRPr="000B5123">
        <w:rPr>
          <w:rFonts w:ascii="Arial" w:hAnsi="Arial" w:cs="Arial"/>
          <w:color w:val="000000" w:themeColor="text1"/>
          <w:sz w:val="24"/>
          <w:szCs w:val="24"/>
        </w:rPr>
        <w:t>) et</w:t>
      </w:r>
      <w:r w:rsidRPr="000B5123">
        <w:rPr>
          <w:rFonts w:ascii="Arial" w:hAnsi="Arial" w:cs="Arial"/>
          <w:color w:val="000000" w:themeColor="text1"/>
          <w:sz w:val="24"/>
          <w:szCs w:val="24"/>
        </w:rPr>
        <w:t xml:space="preserve"> les dettes fiscales et sociales (</w:t>
      </w:r>
      <w:r w:rsidR="00984F4A" w:rsidRPr="000B5123">
        <w:rPr>
          <w:rFonts w:ascii="Arial" w:hAnsi="Arial" w:cs="Arial"/>
          <w:color w:val="000000" w:themeColor="text1"/>
          <w:sz w:val="24"/>
          <w:szCs w:val="24"/>
        </w:rPr>
        <w:t xml:space="preserve">3 297 K€ contre </w:t>
      </w:r>
      <w:r w:rsidR="00A579B5" w:rsidRPr="000B5123">
        <w:rPr>
          <w:rFonts w:ascii="Arial" w:hAnsi="Arial" w:cs="Arial"/>
          <w:color w:val="000000" w:themeColor="text1"/>
          <w:sz w:val="24"/>
          <w:szCs w:val="24"/>
        </w:rPr>
        <w:t xml:space="preserve">3 023 K€ </w:t>
      </w:r>
      <w:r w:rsidR="00984F4A" w:rsidRPr="000B5123">
        <w:rPr>
          <w:rFonts w:ascii="Arial" w:hAnsi="Arial" w:cs="Arial"/>
          <w:color w:val="000000" w:themeColor="text1"/>
          <w:sz w:val="24"/>
          <w:szCs w:val="24"/>
        </w:rPr>
        <w:t>fin 2022</w:t>
      </w:r>
      <w:r w:rsidRPr="000B5123">
        <w:rPr>
          <w:rFonts w:ascii="Arial" w:hAnsi="Arial" w:cs="Arial"/>
          <w:color w:val="000000" w:themeColor="text1"/>
          <w:sz w:val="24"/>
          <w:szCs w:val="24"/>
        </w:rPr>
        <w:t>)</w:t>
      </w:r>
      <w:r w:rsidR="00C13611" w:rsidRPr="000B512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853254B" w14:textId="77777777" w:rsidR="009A1789" w:rsidRPr="000B5123" w:rsidRDefault="009A1789" w:rsidP="00F26BCA">
      <w:pPr>
        <w:spacing w:after="0"/>
        <w:ind w:left="851"/>
        <w:rPr>
          <w:rFonts w:ascii="Arial" w:hAnsi="Arial" w:cs="Arial"/>
          <w:color w:val="000000" w:themeColor="text1"/>
          <w:sz w:val="24"/>
          <w:szCs w:val="24"/>
        </w:rPr>
      </w:pPr>
    </w:p>
    <w:p w14:paraId="28CA9E31" w14:textId="5A207199" w:rsidR="00894117" w:rsidRPr="000B5123" w:rsidRDefault="00894117" w:rsidP="008422CD">
      <w:pPr>
        <w:pStyle w:val="Titre1"/>
        <w:ind w:left="851"/>
      </w:pPr>
      <w:bookmarkStart w:id="5" w:name="_Toc168581069"/>
      <w:r w:rsidRPr="000B5123">
        <w:t xml:space="preserve">Compte </w:t>
      </w:r>
      <w:r w:rsidR="00415FFC" w:rsidRPr="000B5123">
        <w:t xml:space="preserve">de résultat par origine et destination (CROD) et compte </w:t>
      </w:r>
      <w:r w:rsidRPr="000B5123">
        <w:t>d’emploi annuel des ressources collectées auprès du public</w:t>
      </w:r>
      <w:r w:rsidR="00583EF2" w:rsidRPr="000B5123">
        <w:t xml:space="preserve"> (CER)</w:t>
      </w:r>
      <w:bookmarkEnd w:id="5"/>
    </w:p>
    <w:p w14:paraId="29B2DB04" w14:textId="77777777" w:rsidR="00ED61BC" w:rsidRPr="000B5123" w:rsidRDefault="00ED61BC" w:rsidP="00F26BCA">
      <w:pPr>
        <w:keepNext/>
        <w:keepLines/>
        <w:spacing w:after="0"/>
        <w:ind w:left="851"/>
        <w:outlineLvl w:val="0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</w:p>
    <w:p w14:paraId="75FA0169" w14:textId="313FC40C" w:rsidR="0050509B" w:rsidRPr="000B5123" w:rsidRDefault="00894117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L</w:t>
      </w:r>
      <w:r w:rsidR="00F6539D" w:rsidRPr="000B5123">
        <w:rPr>
          <w:rFonts w:ascii="Arial" w:hAnsi="Arial" w:cs="Arial"/>
          <w:sz w:val="24"/>
          <w:szCs w:val="24"/>
        </w:rPr>
        <w:t>e</w:t>
      </w:r>
      <w:r w:rsidR="0050509B" w:rsidRPr="000B5123">
        <w:rPr>
          <w:rFonts w:ascii="Arial" w:hAnsi="Arial" w:cs="Arial"/>
          <w:sz w:val="24"/>
          <w:szCs w:val="24"/>
        </w:rPr>
        <w:t xml:space="preserve"> </w:t>
      </w:r>
      <w:r w:rsidR="00F6539D" w:rsidRPr="000B5123">
        <w:rPr>
          <w:rFonts w:ascii="Arial" w:hAnsi="Arial" w:cs="Arial"/>
          <w:sz w:val="24"/>
          <w:szCs w:val="24"/>
        </w:rPr>
        <w:t>C</w:t>
      </w:r>
      <w:r w:rsidR="0050509B" w:rsidRPr="000B5123">
        <w:rPr>
          <w:rFonts w:ascii="Arial" w:hAnsi="Arial" w:cs="Arial"/>
          <w:sz w:val="24"/>
          <w:szCs w:val="24"/>
        </w:rPr>
        <w:t xml:space="preserve">ompte de </w:t>
      </w:r>
      <w:r w:rsidR="00F6539D" w:rsidRPr="000B5123">
        <w:rPr>
          <w:rFonts w:ascii="Arial" w:hAnsi="Arial" w:cs="Arial"/>
          <w:sz w:val="24"/>
          <w:szCs w:val="24"/>
        </w:rPr>
        <w:t>R</w:t>
      </w:r>
      <w:r w:rsidR="0050509B" w:rsidRPr="000B5123">
        <w:rPr>
          <w:rFonts w:ascii="Arial" w:hAnsi="Arial" w:cs="Arial"/>
          <w:sz w:val="24"/>
          <w:szCs w:val="24"/>
        </w:rPr>
        <w:t xml:space="preserve">ésultat par </w:t>
      </w:r>
      <w:r w:rsidR="00F6539D" w:rsidRPr="000B5123">
        <w:rPr>
          <w:rFonts w:ascii="Arial" w:hAnsi="Arial" w:cs="Arial"/>
          <w:sz w:val="24"/>
          <w:szCs w:val="24"/>
        </w:rPr>
        <w:t>O</w:t>
      </w:r>
      <w:r w:rsidR="0050509B" w:rsidRPr="000B5123">
        <w:rPr>
          <w:rFonts w:ascii="Arial" w:hAnsi="Arial" w:cs="Arial"/>
          <w:sz w:val="24"/>
          <w:szCs w:val="24"/>
        </w:rPr>
        <w:t xml:space="preserve">rigine et </w:t>
      </w:r>
      <w:r w:rsidR="00F6539D" w:rsidRPr="000B5123">
        <w:rPr>
          <w:rFonts w:ascii="Arial" w:hAnsi="Arial" w:cs="Arial"/>
          <w:sz w:val="24"/>
          <w:szCs w:val="24"/>
        </w:rPr>
        <w:t>D</w:t>
      </w:r>
      <w:r w:rsidR="0050509B" w:rsidRPr="000B5123">
        <w:rPr>
          <w:rFonts w:ascii="Arial" w:hAnsi="Arial" w:cs="Arial"/>
          <w:sz w:val="24"/>
          <w:szCs w:val="24"/>
        </w:rPr>
        <w:t>estination (CROD)</w:t>
      </w:r>
      <w:r w:rsidR="00F6539D" w:rsidRPr="000B5123">
        <w:rPr>
          <w:rFonts w:ascii="Arial" w:hAnsi="Arial" w:cs="Arial"/>
          <w:sz w:val="24"/>
          <w:szCs w:val="24"/>
        </w:rPr>
        <w:t xml:space="preserve"> est une autre façon de présenter le compte de résultat, en </w:t>
      </w:r>
      <w:r w:rsidR="003324D7" w:rsidRPr="000B5123">
        <w:rPr>
          <w:rFonts w:ascii="Arial" w:hAnsi="Arial" w:cs="Arial"/>
          <w:sz w:val="24"/>
          <w:szCs w:val="24"/>
        </w:rPr>
        <w:t>fai</w:t>
      </w:r>
      <w:r w:rsidR="00F6539D" w:rsidRPr="000B5123">
        <w:rPr>
          <w:rFonts w:ascii="Arial" w:hAnsi="Arial" w:cs="Arial"/>
          <w:sz w:val="24"/>
          <w:szCs w:val="24"/>
        </w:rPr>
        <w:t xml:space="preserve">sant </w:t>
      </w:r>
      <w:r w:rsidR="003324D7" w:rsidRPr="000B5123">
        <w:rPr>
          <w:rFonts w:ascii="Arial" w:hAnsi="Arial" w:cs="Arial"/>
          <w:sz w:val="24"/>
          <w:szCs w:val="24"/>
        </w:rPr>
        <w:t xml:space="preserve"> apparaitre les produits par origine (liés à la générosité publique, non liés à la générosité publique, subventions et autres concours publics…) et les charges par destination (missions sociales, frais de recherche de fonds, frais de fonctionnement…</w:t>
      </w:r>
      <w:r w:rsidR="00C52A90" w:rsidRPr="000B5123">
        <w:rPr>
          <w:rFonts w:ascii="Arial" w:hAnsi="Arial" w:cs="Arial"/>
          <w:sz w:val="24"/>
          <w:szCs w:val="24"/>
        </w:rPr>
        <w:t>)</w:t>
      </w:r>
      <w:r w:rsidR="00F6539D" w:rsidRPr="000B5123">
        <w:rPr>
          <w:rFonts w:ascii="Arial" w:hAnsi="Arial" w:cs="Arial"/>
          <w:sz w:val="24"/>
          <w:szCs w:val="24"/>
        </w:rPr>
        <w:t xml:space="preserve"> auxquels sont ajoutées </w:t>
      </w:r>
      <w:r w:rsidR="00C52A90" w:rsidRPr="000B5123">
        <w:rPr>
          <w:rFonts w:ascii="Arial" w:hAnsi="Arial" w:cs="Arial"/>
          <w:sz w:val="24"/>
          <w:szCs w:val="24"/>
        </w:rPr>
        <w:t>les contributions volontaires en nature</w:t>
      </w:r>
      <w:r w:rsidR="00F6539D" w:rsidRPr="000B5123">
        <w:rPr>
          <w:rFonts w:ascii="Arial" w:hAnsi="Arial" w:cs="Arial"/>
          <w:sz w:val="24"/>
          <w:szCs w:val="24"/>
        </w:rPr>
        <w:t>, elles-mêmes ventilées</w:t>
      </w:r>
      <w:r w:rsidR="00C52A90" w:rsidRPr="000B5123">
        <w:rPr>
          <w:rFonts w:ascii="Arial" w:hAnsi="Arial" w:cs="Arial"/>
          <w:sz w:val="24"/>
          <w:szCs w:val="24"/>
        </w:rPr>
        <w:t xml:space="preserve"> </w:t>
      </w:r>
      <w:r w:rsidR="0050509B" w:rsidRPr="000B5123">
        <w:rPr>
          <w:rFonts w:ascii="Arial" w:hAnsi="Arial" w:cs="Arial"/>
          <w:sz w:val="24"/>
          <w:szCs w:val="24"/>
        </w:rPr>
        <w:t>en bénévolat</w:t>
      </w:r>
      <w:r w:rsidR="00F6539D" w:rsidRPr="000B5123">
        <w:rPr>
          <w:rFonts w:ascii="Arial" w:hAnsi="Arial" w:cs="Arial"/>
          <w:sz w:val="24"/>
          <w:szCs w:val="24"/>
        </w:rPr>
        <w:t>, prestations en nature</w:t>
      </w:r>
      <w:r w:rsidR="0050509B" w:rsidRPr="000B5123">
        <w:rPr>
          <w:rFonts w:ascii="Arial" w:hAnsi="Arial" w:cs="Arial"/>
          <w:sz w:val="24"/>
          <w:szCs w:val="24"/>
        </w:rPr>
        <w:t xml:space="preserve"> et dons en nature</w:t>
      </w:r>
      <w:r w:rsidR="00F6539D" w:rsidRPr="000B5123">
        <w:rPr>
          <w:rFonts w:ascii="Arial" w:hAnsi="Arial" w:cs="Arial"/>
          <w:sz w:val="24"/>
          <w:szCs w:val="24"/>
        </w:rPr>
        <w:t>,</w:t>
      </w:r>
      <w:r w:rsidR="0050509B" w:rsidRPr="000B5123">
        <w:rPr>
          <w:rFonts w:ascii="Arial" w:hAnsi="Arial" w:cs="Arial"/>
          <w:sz w:val="24"/>
          <w:szCs w:val="24"/>
        </w:rPr>
        <w:t xml:space="preserve"> et leur</w:t>
      </w:r>
      <w:r w:rsidR="004B7B23" w:rsidRPr="000B5123">
        <w:rPr>
          <w:rFonts w:ascii="Arial" w:hAnsi="Arial" w:cs="Arial"/>
          <w:sz w:val="24"/>
          <w:szCs w:val="24"/>
        </w:rPr>
        <w:t>s</w:t>
      </w:r>
      <w:r w:rsidR="0050509B" w:rsidRPr="000B5123">
        <w:rPr>
          <w:rFonts w:ascii="Arial" w:hAnsi="Arial" w:cs="Arial"/>
          <w:sz w:val="24"/>
          <w:szCs w:val="24"/>
        </w:rPr>
        <w:t xml:space="preserve"> contreparties en charges ventilées par destination</w:t>
      </w:r>
      <w:r w:rsidR="00C52A90" w:rsidRPr="000B5123">
        <w:rPr>
          <w:rFonts w:ascii="Arial" w:hAnsi="Arial" w:cs="Arial"/>
          <w:sz w:val="24"/>
          <w:szCs w:val="24"/>
        </w:rPr>
        <w:t>. Le</w:t>
      </w:r>
      <w:r w:rsidR="0050509B" w:rsidRPr="000B5123">
        <w:rPr>
          <w:rFonts w:ascii="Arial" w:hAnsi="Arial" w:cs="Arial"/>
          <w:sz w:val="24"/>
          <w:szCs w:val="24"/>
        </w:rPr>
        <w:t xml:space="preserve"> </w:t>
      </w:r>
      <w:r w:rsidR="002A4352" w:rsidRPr="000B5123">
        <w:rPr>
          <w:rFonts w:ascii="Arial" w:hAnsi="Arial" w:cs="Arial"/>
          <w:sz w:val="24"/>
          <w:szCs w:val="24"/>
        </w:rPr>
        <w:t>C</w:t>
      </w:r>
      <w:r w:rsidR="0050509B" w:rsidRPr="000B5123">
        <w:rPr>
          <w:rFonts w:ascii="Arial" w:hAnsi="Arial" w:cs="Arial"/>
          <w:sz w:val="24"/>
          <w:szCs w:val="24"/>
        </w:rPr>
        <w:t>ompte d’</w:t>
      </w:r>
      <w:r w:rsidR="002A4352" w:rsidRPr="000B5123">
        <w:rPr>
          <w:rFonts w:ascii="Arial" w:hAnsi="Arial" w:cs="Arial"/>
          <w:sz w:val="24"/>
          <w:szCs w:val="24"/>
        </w:rPr>
        <w:t>E</w:t>
      </w:r>
      <w:r w:rsidR="0050509B" w:rsidRPr="000B5123">
        <w:rPr>
          <w:rFonts w:ascii="Arial" w:hAnsi="Arial" w:cs="Arial"/>
          <w:sz w:val="24"/>
          <w:szCs w:val="24"/>
        </w:rPr>
        <w:t xml:space="preserve">mploi annuel des </w:t>
      </w:r>
      <w:r w:rsidR="002A4352" w:rsidRPr="000B5123">
        <w:rPr>
          <w:rFonts w:ascii="Arial" w:hAnsi="Arial" w:cs="Arial"/>
          <w:sz w:val="24"/>
          <w:szCs w:val="24"/>
        </w:rPr>
        <w:t>R</w:t>
      </w:r>
      <w:r w:rsidR="0050509B" w:rsidRPr="000B5123">
        <w:rPr>
          <w:rFonts w:ascii="Arial" w:hAnsi="Arial" w:cs="Arial"/>
          <w:sz w:val="24"/>
          <w:szCs w:val="24"/>
        </w:rPr>
        <w:t xml:space="preserve">essources collectées auprès du public </w:t>
      </w:r>
      <w:r w:rsidR="00127DD1" w:rsidRPr="000B5123">
        <w:rPr>
          <w:rFonts w:ascii="Arial" w:hAnsi="Arial" w:cs="Arial"/>
          <w:sz w:val="24"/>
          <w:szCs w:val="24"/>
        </w:rPr>
        <w:t xml:space="preserve">(CER) </w:t>
      </w:r>
      <w:r w:rsidR="0050509B" w:rsidRPr="000B5123">
        <w:rPr>
          <w:rFonts w:ascii="Arial" w:hAnsi="Arial" w:cs="Arial"/>
          <w:sz w:val="24"/>
          <w:szCs w:val="24"/>
        </w:rPr>
        <w:t xml:space="preserve">ne contient que </w:t>
      </w:r>
      <w:r w:rsidR="00C52A90" w:rsidRPr="000B5123">
        <w:rPr>
          <w:rFonts w:ascii="Arial" w:hAnsi="Arial" w:cs="Arial"/>
          <w:sz w:val="24"/>
          <w:szCs w:val="24"/>
        </w:rPr>
        <w:t>l</w:t>
      </w:r>
      <w:r w:rsidR="0050509B" w:rsidRPr="000B5123">
        <w:rPr>
          <w:rFonts w:ascii="Arial" w:hAnsi="Arial" w:cs="Arial"/>
          <w:sz w:val="24"/>
          <w:szCs w:val="24"/>
        </w:rPr>
        <w:t xml:space="preserve">es ressources </w:t>
      </w:r>
      <w:r w:rsidR="00C52A90" w:rsidRPr="000B5123">
        <w:rPr>
          <w:rFonts w:ascii="Arial" w:hAnsi="Arial" w:cs="Arial"/>
          <w:sz w:val="24"/>
          <w:szCs w:val="24"/>
        </w:rPr>
        <w:t xml:space="preserve">issues de la générosité du public </w:t>
      </w:r>
      <w:r w:rsidR="0050509B" w:rsidRPr="000B5123">
        <w:rPr>
          <w:rFonts w:ascii="Arial" w:hAnsi="Arial" w:cs="Arial"/>
          <w:sz w:val="24"/>
          <w:szCs w:val="24"/>
        </w:rPr>
        <w:t xml:space="preserve">et leur emploi. </w:t>
      </w:r>
      <w:r w:rsidR="00F6539D" w:rsidRPr="000B5123">
        <w:rPr>
          <w:rFonts w:ascii="Arial" w:hAnsi="Arial" w:cs="Arial"/>
          <w:sz w:val="24"/>
          <w:szCs w:val="24"/>
        </w:rPr>
        <w:t>Seulement 2</w:t>
      </w:r>
      <w:r w:rsidR="00EC01A1" w:rsidRPr="000B5123">
        <w:rPr>
          <w:rFonts w:ascii="Arial" w:hAnsi="Arial" w:cs="Arial"/>
          <w:sz w:val="24"/>
          <w:szCs w:val="24"/>
        </w:rPr>
        <w:t>7</w:t>
      </w:r>
      <w:r w:rsidR="00F6539D" w:rsidRPr="000B5123">
        <w:rPr>
          <w:rFonts w:ascii="Arial" w:hAnsi="Arial" w:cs="Arial"/>
          <w:sz w:val="24"/>
          <w:szCs w:val="24"/>
        </w:rPr>
        <w:t xml:space="preserve"> % des dépenses du compte de résultat entrent dans le champ de la générosité publique en 202</w:t>
      </w:r>
      <w:r w:rsidR="00EC01A1" w:rsidRPr="000B5123">
        <w:rPr>
          <w:rFonts w:ascii="Arial" w:hAnsi="Arial" w:cs="Arial"/>
          <w:sz w:val="24"/>
          <w:szCs w:val="24"/>
        </w:rPr>
        <w:t>3</w:t>
      </w:r>
      <w:r w:rsidR="00F6539D" w:rsidRPr="000B5123">
        <w:rPr>
          <w:rFonts w:ascii="Arial" w:hAnsi="Arial" w:cs="Arial"/>
          <w:sz w:val="24"/>
          <w:szCs w:val="24"/>
        </w:rPr>
        <w:t xml:space="preserve">. </w:t>
      </w:r>
      <w:r w:rsidR="00003038" w:rsidRPr="000B5123">
        <w:rPr>
          <w:rFonts w:ascii="Arial" w:hAnsi="Arial" w:cs="Arial"/>
          <w:sz w:val="24"/>
          <w:szCs w:val="24"/>
        </w:rPr>
        <w:t xml:space="preserve">La valeur des contributions en nature </w:t>
      </w:r>
      <w:r w:rsidR="00DA2418" w:rsidRPr="000B5123">
        <w:rPr>
          <w:rFonts w:ascii="Arial" w:hAnsi="Arial" w:cs="Arial"/>
          <w:sz w:val="24"/>
          <w:szCs w:val="24"/>
        </w:rPr>
        <w:t>(bénévolat, mécénat, commodat)</w:t>
      </w:r>
      <w:r w:rsidR="004B7B23" w:rsidRPr="000B5123">
        <w:rPr>
          <w:rFonts w:ascii="Arial" w:hAnsi="Arial" w:cs="Arial"/>
          <w:sz w:val="24"/>
          <w:szCs w:val="24"/>
        </w:rPr>
        <w:t>, soit 1</w:t>
      </w:r>
      <w:r w:rsidR="00EC01A1" w:rsidRPr="000B5123">
        <w:rPr>
          <w:rFonts w:ascii="Arial" w:hAnsi="Arial" w:cs="Arial"/>
          <w:sz w:val="24"/>
          <w:szCs w:val="24"/>
        </w:rPr>
        <w:t>3 248</w:t>
      </w:r>
      <w:r w:rsidR="004B7B23" w:rsidRPr="000B5123">
        <w:rPr>
          <w:rFonts w:ascii="Arial" w:hAnsi="Arial" w:cs="Arial"/>
          <w:sz w:val="24"/>
          <w:szCs w:val="24"/>
        </w:rPr>
        <w:t xml:space="preserve"> K</w:t>
      </w:r>
      <w:r w:rsidR="003506EA" w:rsidRPr="000B5123">
        <w:rPr>
          <w:rFonts w:ascii="Arial" w:hAnsi="Arial" w:cs="Arial"/>
          <w:sz w:val="24"/>
          <w:szCs w:val="24"/>
        </w:rPr>
        <w:t>€, dépasse</w:t>
      </w:r>
      <w:r w:rsidR="004B7B23" w:rsidRPr="000B5123">
        <w:rPr>
          <w:rFonts w:ascii="Arial" w:hAnsi="Arial" w:cs="Arial"/>
          <w:sz w:val="24"/>
          <w:szCs w:val="24"/>
        </w:rPr>
        <w:t xml:space="preserve"> la valeur monétaire des </w:t>
      </w:r>
      <w:r w:rsidR="00DA2418" w:rsidRPr="000B5123">
        <w:rPr>
          <w:rFonts w:ascii="Arial" w:hAnsi="Arial" w:cs="Arial"/>
          <w:sz w:val="24"/>
          <w:szCs w:val="24"/>
        </w:rPr>
        <w:t>emplois financés par la générosité publique</w:t>
      </w:r>
      <w:r w:rsidR="004B7B23" w:rsidRPr="000B5123">
        <w:rPr>
          <w:rFonts w:ascii="Arial" w:hAnsi="Arial" w:cs="Arial"/>
          <w:sz w:val="24"/>
          <w:szCs w:val="24"/>
        </w:rPr>
        <w:t xml:space="preserve">, soit </w:t>
      </w:r>
      <w:r w:rsidR="00EC01A1" w:rsidRPr="000B5123">
        <w:rPr>
          <w:rFonts w:ascii="Arial" w:hAnsi="Arial" w:cs="Arial"/>
          <w:sz w:val="24"/>
          <w:szCs w:val="24"/>
        </w:rPr>
        <w:t xml:space="preserve">11 656 </w:t>
      </w:r>
      <w:r w:rsidR="004B7B23" w:rsidRPr="000B5123">
        <w:rPr>
          <w:rFonts w:ascii="Arial" w:hAnsi="Arial" w:cs="Arial"/>
          <w:sz w:val="24"/>
          <w:szCs w:val="24"/>
        </w:rPr>
        <w:t>K€</w:t>
      </w:r>
      <w:r w:rsidR="00CB4703" w:rsidRPr="000B5123">
        <w:rPr>
          <w:rFonts w:ascii="Arial" w:hAnsi="Arial" w:cs="Arial"/>
          <w:sz w:val="24"/>
          <w:szCs w:val="24"/>
        </w:rPr>
        <w:t xml:space="preserve"> en 202</w:t>
      </w:r>
      <w:r w:rsidR="00EC01A1" w:rsidRPr="000B5123">
        <w:rPr>
          <w:rFonts w:ascii="Arial" w:hAnsi="Arial" w:cs="Arial"/>
          <w:sz w:val="24"/>
          <w:szCs w:val="24"/>
        </w:rPr>
        <w:t>3</w:t>
      </w:r>
      <w:r w:rsidR="00DA2418" w:rsidRPr="000B5123">
        <w:rPr>
          <w:rFonts w:ascii="Arial" w:hAnsi="Arial" w:cs="Arial"/>
          <w:sz w:val="24"/>
          <w:szCs w:val="24"/>
        </w:rPr>
        <w:t>.</w:t>
      </w:r>
      <w:r w:rsidR="00003038" w:rsidRPr="000B5123">
        <w:rPr>
          <w:rFonts w:ascii="Arial" w:hAnsi="Arial" w:cs="Arial"/>
          <w:sz w:val="24"/>
          <w:szCs w:val="24"/>
        </w:rPr>
        <w:t xml:space="preserve"> </w:t>
      </w:r>
    </w:p>
    <w:p w14:paraId="6CE569A2" w14:textId="77777777" w:rsidR="00894117" w:rsidRPr="000B5123" w:rsidRDefault="00894117" w:rsidP="00F26BCA">
      <w:pPr>
        <w:tabs>
          <w:tab w:val="left" w:pos="6662"/>
        </w:tabs>
        <w:spacing w:after="0"/>
        <w:ind w:left="851"/>
        <w:rPr>
          <w:rFonts w:ascii="Arial" w:hAnsi="Arial" w:cs="Arial"/>
          <w:sz w:val="24"/>
          <w:szCs w:val="24"/>
        </w:rPr>
      </w:pPr>
    </w:p>
    <w:p w14:paraId="381253A1" w14:textId="604D5984" w:rsidR="00894117" w:rsidRPr="000B5123" w:rsidRDefault="00894117" w:rsidP="008422CD">
      <w:pPr>
        <w:pStyle w:val="Titre2"/>
        <w:ind w:left="851"/>
      </w:pPr>
      <w:bookmarkStart w:id="6" w:name="_Toc168581070"/>
      <w:r w:rsidRPr="000B5123">
        <w:t xml:space="preserve">Emplois de l’année </w:t>
      </w:r>
      <w:r w:rsidR="00583EF2" w:rsidRPr="000B5123">
        <w:t>retracés dans le CROD et le CER</w:t>
      </w:r>
      <w:bookmarkEnd w:id="6"/>
    </w:p>
    <w:p w14:paraId="1D267E47" w14:textId="5FD67D76" w:rsidR="00583EF2" w:rsidRPr="00014A4A" w:rsidRDefault="00583EF2" w:rsidP="00014A4A">
      <w:pPr>
        <w:ind w:left="851"/>
        <w:rPr>
          <w:rFonts w:ascii="Arial" w:hAnsi="Arial" w:cs="Arial"/>
          <w:sz w:val="24"/>
          <w:szCs w:val="24"/>
          <w:u w:val="single"/>
        </w:rPr>
      </w:pPr>
      <w:r w:rsidRPr="00014A4A">
        <w:rPr>
          <w:rFonts w:ascii="Arial" w:hAnsi="Arial" w:cs="Arial"/>
          <w:sz w:val="24"/>
          <w:szCs w:val="24"/>
        </w:rPr>
        <w:t xml:space="preserve">Le total des charges </w:t>
      </w:r>
      <w:r w:rsidR="00551C48" w:rsidRPr="00014A4A">
        <w:rPr>
          <w:rFonts w:ascii="Arial" w:hAnsi="Arial" w:cs="Arial"/>
          <w:sz w:val="24"/>
          <w:szCs w:val="24"/>
        </w:rPr>
        <w:t xml:space="preserve">comptables </w:t>
      </w:r>
      <w:r w:rsidRPr="00014A4A">
        <w:rPr>
          <w:rFonts w:ascii="Arial" w:hAnsi="Arial" w:cs="Arial"/>
          <w:sz w:val="24"/>
          <w:szCs w:val="24"/>
        </w:rPr>
        <w:t xml:space="preserve">du CROD s’élève à </w:t>
      </w:r>
      <w:r w:rsidR="005D617A" w:rsidRPr="00014A4A">
        <w:rPr>
          <w:rFonts w:ascii="Arial" w:hAnsi="Arial" w:cs="Arial"/>
          <w:sz w:val="24"/>
          <w:szCs w:val="24"/>
        </w:rPr>
        <w:t>42 5</w:t>
      </w:r>
      <w:r w:rsidR="00AC6BC7" w:rsidRPr="00014A4A">
        <w:rPr>
          <w:rFonts w:ascii="Arial" w:hAnsi="Arial" w:cs="Arial"/>
          <w:sz w:val="24"/>
          <w:szCs w:val="24"/>
        </w:rPr>
        <w:t>6</w:t>
      </w:r>
      <w:r w:rsidR="005D617A" w:rsidRPr="00014A4A">
        <w:rPr>
          <w:rFonts w:ascii="Arial" w:hAnsi="Arial" w:cs="Arial"/>
          <w:sz w:val="24"/>
          <w:szCs w:val="24"/>
        </w:rPr>
        <w:t xml:space="preserve">1 K€ contre </w:t>
      </w:r>
      <w:r w:rsidR="00CB4703" w:rsidRPr="00014A4A">
        <w:rPr>
          <w:rFonts w:ascii="Arial" w:hAnsi="Arial" w:cs="Arial"/>
          <w:sz w:val="24"/>
          <w:szCs w:val="24"/>
        </w:rPr>
        <w:t>42 562 K€</w:t>
      </w:r>
      <w:r w:rsidR="00551C48" w:rsidRPr="00014A4A">
        <w:rPr>
          <w:rFonts w:ascii="Arial" w:hAnsi="Arial" w:cs="Arial"/>
          <w:sz w:val="24"/>
          <w:szCs w:val="24"/>
        </w:rPr>
        <w:t xml:space="preserve"> en 202</w:t>
      </w:r>
      <w:r w:rsidR="005D617A" w:rsidRPr="00014A4A">
        <w:rPr>
          <w:rFonts w:ascii="Arial" w:hAnsi="Arial" w:cs="Arial"/>
          <w:sz w:val="24"/>
          <w:szCs w:val="24"/>
        </w:rPr>
        <w:t>2</w:t>
      </w:r>
      <w:r w:rsidR="00551C48" w:rsidRPr="00014A4A">
        <w:rPr>
          <w:rFonts w:ascii="Arial" w:hAnsi="Arial" w:cs="Arial"/>
          <w:sz w:val="24"/>
          <w:szCs w:val="24"/>
        </w:rPr>
        <w:t xml:space="preserve">. </w:t>
      </w:r>
      <w:r w:rsidR="00FD41BF" w:rsidRPr="00014A4A">
        <w:rPr>
          <w:rFonts w:ascii="Arial" w:hAnsi="Arial" w:cs="Arial"/>
          <w:sz w:val="24"/>
          <w:szCs w:val="24"/>
        </w:rPr>
        <w:t>Parmi celles-ci, l</w:t>
      </w:r>
      <w:r w:rsidRPr="00014A4A">
        <w:rPr>
          <w:rFonts w:ascii="Arial" w:hAnsi="Arial" w:cs="Arial"/>
          <w:sz w:val="24"/>
          <w:szCs w:val="24"/>
        </w:rPr>
        <w:t>es charges financées par la générosité du public représentent</w:t>
      </w:r>
      <w:r w:rsidR="001A791D" w:rsidRPr="00014A4A">
        <w:rPr>
          <w:rFonts w:ascii="Arial" w:hAnsi="Arial" w:cs="Arial"/>
          <w:sz w:val="24"/>
          <w:szCs w:val="24"/>
        </w:rPr>
        <w:t xml:space="preserve"> </w:t>
      </w:r>
      <w:r w:rsidR="005D617A" w:rsidRPr="00014A4A">
        <w:rPr>
          <w:rFonts w:ascii="Arial" w:hAnsi="Arial" w:cs="Arial"/>
          <w:sz w:val="24"/>
          <w:szCs w:val="24"/>
        </w:rPr>
        <w:t xml:space="preserve">11 656 K€ (27,4 % de ce total) en 2023 contre </w:t>
      </w:r>
      <w:r w:rsidR="00CB4703" w:rsidRPr="00014A4A">
        <w:rPr>
          <w:rFonts w:ascii="Arial" w:hAnsi="Arial" w:cs="Arial"/>
          <w:sz w:val="24"/>
          <w:szCs w:val="24"/>
        </w:rPr>
        <w:t>9 614</w:t>
      </w:r>
      <w:r w:rsidR="00551C48" w:rsidRPr="00014A4A">
        <w:rPr>
          <w:rFonts w:ascii="Arial" w:hAnsi="Arial" w:cs="Arial"/>
          <w:sz w:val="24"/>
          <w:szCs w:val="24"/>
        </w:rPr>
        <w:t xml:space="preserve"> K€ </w:t>
      </w:r>
      <w:r w:rsidR="00003038" w:rsidRPr="00014A4A">
        <w:rPr>
          <w:rFonts w:ascii="Arial" w:hAnsi="Arial" w:cs="Arial"/>
          <w:sz w:val="24"/>
          <w:szCs w:val="24"/>
        </w:rPr>
        <w:t>(2</w:t>
      </w:r>
      <w:r w:rsidR="00CB4703" w:rsidRPr="00014A4A">
        <w:rPr>
          <w:rFonts w:ascii="Arial" w:hAnsi="Arial" w:cs="Arial"/>
          <w:sz w:val="24"/>
          <w:szCs w:val="24"/>
        </w:rPr>
        <w:t>2,6</w:t>
      </w:r>
      <w:r w:rsidR="00003038" w:rsidRPr="00014A4A">
        <w:rPr>
          <w:rFonts w:ascii="Arial" w:hAnsi="Arial" w:cs="Arial"/>
          <w:sz w:val="24"/>
          <w:szCs w:val="24"/>
        </w:rPr>
        <w:t xml:space="preserve"> % </w:t>
      </w:r>
      <w:r w:rsidR="00551C48" w:rsidRPr="00014A4A">
        <w:rPr>
          <w:rFonts w:ascii="Arial" w:hAnsi="Arial" w:cs="Arial"/>
          <w:sz w:val="24"/>
          <w:szCs w:val="24"/>
        </w:rPr>
        <w:t>de ce total</w:t>
      </w:r>
      <w:r w:rsidR="005D617A" w:rsidRPr="00014A4A">
        <w:rPr>
          <w:rFonts w:ascii="Arial" w:hAnsi="Arial" w:cs="Arial"/>
          <w:sz w:val="24"/>
          <w:szCs w:val="24"/>
        </w:rPr>
        <w:t>)</w:t>
      </w:r>
      <w:r w:rsidR="00551C48" w:rsidRPr="00014A4A">
        <w:rPr>
          <w:rFonts w:ascii="Arial" w:hAnsi="Arial" w:cs="Arial"/>
          <w:sz w:val="24"/>
          <w:szCs w:val="24"/>
        </w:rPr>
        <w:t xml:space="preserve"> en 202</w:t>
      </w:r>
      <w:r w:rsidR="00CB4703" w:rsidRPr="00014A4A">
        <w:rPr>
          <w:rFonts w:ascii="Arial" w:hAnsi="Arial" w:cs="Arial"/>
          <w:sz w:val="24"/>
          <w:szCs w:val="24"/>
        </w:rPr>
        <w:t>2</w:t>
      </w:r>
      <w:r w:rsidR="005D617A" w:rsidRPr="00014A4A">
        <w:rPr>
          <w:rFonts w:ascii="Arial" w:hAnsi="Arial" w:cs="Arial"/>
          <w:sz w:val="24"/>
          <w:szCs w:val="24"/>
        </w:rPr>
        <w:t xml:space="preserve">. </w:t>
      </w:r>
      <w:r w:rsidR="00D9368D" w:rsidRPr="00014A4A">
        <w:rPr>
          <w:rFonts w:ascii="Arial" w:hAnsi="Arial" w:cs="Arial"/>
          <w:sz w:val="24"/>
          <w:szCs w:val="24"/>
        </w:rPr>
        <w:t xml:space="preserve">Les charges imputables aux établissements sociaux et médico-sociaux représentent </w:t>
      </w:r>
      <w:r w:rsidR="001A791D" w:rsidRPr="00014A4A">
        <w:rPr>
          <w:rFonts w:ascii="Arial" w:hAnsi="Arial" w:cs="Arial"/>
          <w:sz w:val="24"/>
          <w:szCs w:val="24"/>
        </w:rPr>
        <w:br/>
      </w:r>
      <w:r w:rsidR="00D9368D" w:rsidRPr="00014A4A">
        <w:rPr>
          <w:rFonts w:ascii="Arial" w:hAnsi="Arial" w:cs="Arial"/>
          <w:sz w:val="24"/>
          <w:szCs w:val="24"/>
        </w:rPr>
        <w:t>1</w:t>
      </w:r>
      <w:r w:rsidR="005D617A" w:rsidRPr="00014A4A">
        <w:rPr>
          <w:rFonts w:ascii="Arial" w:hAnsi="Arial" w:cs="Arial"/>
          <w:sz w:val="24"/>
          <w:szCs w:val="24"/>
        </w:rPr>
        <w:t>2 555</w:t>
      </w:r>
      <w:r w:rsidR="00D9368D" w:rsidRPr="00014A4A">
        <w:rPr>
          <w:rFonts w:ascii="Arial" w:hAnsi="Arial" w:cs="Arial"/>
          <w:sz w:val="24"/>
          <w:szCs w:val="24"/>
        </w:rPr>
        <w:t xml:space="preserve"> K€, celles relatives aux ateliers </w:t>
      </w:r>
      <w:r w:rsidR="00A96B08" w:rsidRPr="00014A4A">
        <w:rPr>
          <w:rFonts w:ascii="Arial" w:hAnsi="Arial" w:cs="Arial"/>
          <w:sz w:val="24"/>
          <w:szCs w:val="24"/>
        </w:rPr>
        <w:t>autonomes</w:t>
      </w:r>
      <w:r w:rsidR="00D9368D" w:rsidRPr="00014A4A">
        <w:rPr>
          <w:rFonts w:ascii="Arial" w:hAnsi="Arial" w:cs="Arial"/>
          <w:sz w:val="24"/>
          <w:szCs w:val="24"/>
        </w:rPr>
        <w:t xml:space="preserve"> 5 </w:t>
      </w:r>
      <w:r w:rsidR="005D617A" w:rsidRPr="00014A4A">
        <w:rPr>
          <w:rFonts w:ascii="Arial" w:hAnsi="Arial" w:cs="Arial"/>
          <w:sz w:val="24"/>
          <w:szCs w:val="24"/>
        </w:rPr>
        <w:t>001</w:t>
      </w:r>
      <w:r w:rsidR="00D9368D" w:rsidRPr="00014A4A">
        <w:rPr>
          <w:rFonts w:ascii="Arial" w:hAnsi="Arial" w:cs="Arial"/>
          <w:sz w:val="24"/>
          <w:szCs w:val="24"/>
        </w:rPr>
        <w:t xml:space="preserve"> K€, celles du centre résidentiel (résidence-services) financées principalement par ses utilisateurs 1 </w:t>
      </w:r>
      <w:r w:rsidR="005D617A" w:rsidRPr="00014A4A">
        <w:rPr>
          <w:rFonts w:ascii="Arial" w:hAnsi="Arial" w:cs="Arial"/>
          <w:sz w:val="24"/>
          <w:szCs w:val="24"/>
        </w:rPr>
        <w:t>934</w:t>
      </w:r>
      <w:r w:rsidR="00D9368D" w:rsidRPr="00014A4A">
        <w:rPr>
          <w:rFonts w:ascii="Arial" w:hAnsi="Arial" w:cs="Arial"/>
          <w:sz w:val="24"/>
          <w:szCs w:val="24"/>
        </w:rPr>
        <w:t xml:space="preserve"> K€.</w:t>
      </w:r>
    </w:p>
    <w:p w14:paraId="321F1F61" w14:textId="1BEBD547" w:rsidR="00402DE6" w:rsidRPr="000B5123" w:rsidRDefault="00894117" w:rsidP="00F26BCA">
      <w:pPr>
        <w:spacing w:after="0"/>
        <w:ind w:left="851"/>
        <w:rPr>
          <w:rFonts w:ascii="Arial" w:eastAsia="Calibri" w:hAnsi="Arial" w:cs="Arial"/>
          <w:sz w:val="24"/>
          <w:szCs w:val="24"/>
        </w:rPr>
      </w:pPr>
      <w:r w:rsidRPr="000B5123">
        <w:rPr>
          <w:rFonts w:ascii="Arial" w:eastAsia="Calibri" w:hAnsi="Arial" w:cs="Arial"/>
          <w:sz w:val="24"/>
          <w:szCs w:val="24"/>
        </w:rPr>
        <w:t xml:space="preserve">L’ensemble des dépenses consacrées </w:t>
      </w:r>
      <w:r w:rsidRPr="000B5123">
        <w:rPr>
          <w:rFonts w:ascii="Arial" w:eastAsia="Calibri" w:hAnsi="Arial" w:cs="Arial"/>
          <w:color w:val="000000" w:themeColor="text1"/>
          <w:sz w:val="24"/>
          <w:szCs w:val="24"/>
        </w:rPr>
        <w:t xml:space="preserve">aux </w:t>
      </w:r>
      <w:r w:rsidRPr="000B5123">
        <w:rPr>
          <w:rFonts w:ascii="Arial" w:eastAsia="Calibri" w:hAnsi="Arial" w:cs="Arial"/>
          <w:b/>
          <w:color w:val="000000" w:themeColor="text1"/>
          <w:sz w:val="24"/>
          <w:szCs w:val="24"/>
        </w:rPr>
        <w:t>m</w:t>
      </w:r>
      <w:r w:rsidRPr="000B5123">
        <w:rPr>
          <w:rFonts w:ascii="Arial" w:eastAsia="Calibri" w:hAnsi="Arial" w:cs="Arial"/>
          <w:b/>
          <w:sz w:val="24"/>
          <w:szCs w:val="24"/>
        </w:rPr>
        <w:t>issions sociales</w:t>
      </w:r>
      <w:r w:rsidRPr="000B5123">
        <w:rPr>
          <w:rFonts w:ascii="Arial" w:eastAsia="Calibri" w:hAnsi="Arial" w:cs="Arial"/>
          <w:sz w:val="24"/>
          <w:szCs w:val="24"/>
        </w:rPr>
        <w:t xml:space="preserve"> s’él</w:t>
      </w:r>
      <w:r w:rsidR="002A4352" w:rsidRPr="000B5123">
        <w:rPr>
          <w:rFonts w:ascii="Arial" w:eastAsia="Calibri" w:hAnsi="Arial" w:cs="Arial"/>
          <w:sz w:val="24"/>
          <w:szCs w:val="24"/>
        </w:rPr>
        <w:t>è</w:t>
      </w:r>
      <w:r w:rsidRPr="000B5123">
        <w:rPr>
          <w:rFonts w:ascii="Arial" w:eastAsia="Calibri" w:hAnsi="Arial" w:cs="Arial"/>
          <w:sz w:val="24"/>
          <w:szCs w:val="24"/>
        </w:rPr>
        <w:t>v</w:t>
      </w:r>
      <w:r w:rsidR="002A4352" w:rsidRPr="000B5123">
        <w:rPr>
          <w:rFonts w:ascii="Arial" w:eastAsia="Calibri" w:hAnsi="Arial" w:cs="Arial"/>
          <w:sz w:val="24"/>
          <w:szCs w:val="24"/>
        </w:rPr>
        <w:t>e</w:t>
      </w:r>
      <w:r w:rsidRPr="000B5123">
        <w:rPr>
          <w:rFonts w:ascii="Arial" w:eastAsia="Calibri" w:hAnsi="Arial" w:cs="Arial"/>
          <w:sz w:val="24"/>
          <w:szCs w:val="24"/>
        </w:rPr>
        <w:t xml:space="preserve"> à </w:t>
      </w:r>
      <w:r w:rsidR="005D617A" w:rsidRPr="000B5123">
        <w:rPr>
          <w:rFonts w:ascii="Arial" w:eastAsia="Calibri" w:hAnsi="Arial" w:cs="Arial"/>
          <w:sz w:val="24"/>
          <w:szCs w:val="24"/>
        </w:rPr>
        <w:t>31 584 K</w:t>
      </w:r>
      <w:r w:rsidR="00B04207" w:rsidRPr="000B5123">
        <w:rPr>
          <w:rFonts w:ascii="Arial" w:eastAsia="Calibri" w:hAnsi="Arial" w:cs="Arial"/>
          <w:sz w:val="24"/>
          <w:szCs w:val="24"/>
        </w:rPr>
        <w:t>€,</w:t>
      </w:r>
      <w:r w:rsidR="00654CB4" w:rsidRPr="000B5123">
        <w:rPr>
          <w:rFonts w:ascii="Arial" w:eastAsia="Calibri" w:hAnsi="Arial" w:cs="Arial"/>
          <w:sz w:val="24"/>
          <w:szCs w:val="24"/>
        </w:rPr>
        <w:t xml:space="preserve"> </w:t>
      </w:r>
      <w:r w:rsidRPr="000B5123">
        <w:rPr>
          <w:rFonts w:ascii="Arial" w:eastAsia="Calibri" w:hAnsi="Arial" w:cs="Arial"/>
          <w:sz w:val="24"/>
          <w:szCs w:val="24"/>
        </w:rPr>
        <w:t xml:space="preserve">montant en </w:t>
      </w:r>
      <w:r w:rsidR="005D617A" w:rsidRPr="000B5123">
        <w:rPr>
          <w:rFonts w:ascii="Arial" w:eastAsia="Calibri" w:hAnsi="Arial" w:cs="Arial"/>
          <w:sz w:val="24"/>
          <w:szCs w:val="24"/>
        </w:rPr>
        <w:t xml:space="preserve">baisse de 3,6 % </w:t>
      </w:r>
      <w:r w:rsidRPr="000B5123">
        <w:rPr>
          <w:rFonts w:ascii="Arial" w:eastAsia="Calibri" w:hAnsi="Arial" w:cs="Arial"/>
          <w:sz w:val="24"/>
          <w:szCs w:val="24"/>
        </w:rPr>
        <w:t>par rapport à celui de l’an passé (</w:t>
      </w:r>
      <w:r w:rsidR="00970874" w:rsidRPr="000B5123">
        <w:rPr>
          <w:rFonts w:ascii="Arial" w:eastAsia="Calibri" w:hAnsi="Arial" w:cs="Arial"/>
          <w:sz w:val="24"/>
          <w:szCs w:val="24"/>
        </w:rPr>
        <w:t>3</w:t>
      </w:r>
      <w:r w:rsidR="005D617A" w:rsidRPr="000B5123">
        <w:rPr>
          <w:rFonts w:ascii="Arial" w:eastAsia="Calibri" w:hAnsi="Arial" w:cs="Arial"/>
          <w:sz w:val="24"/>
          <w:szCs w:val="24"/>
        </w:rPr>
        <w:t>2 779</w:t>
      </w:r>
      <w:r w:rsidR="00654CB4" w:rsidRPr="000B5123">
        <w:rPr>
          <w:rFonts w:ascii="Arial" w:eastAsia="Calibri" w:hAnsi="Arial" w:cs="Arial"/>
          <w:sz w:val="24"/>
          <w:szCs w:val="24"/>
        </w:rPr>
        <w:t xml:space="preserve"> K€)</w:t>
      </w:r>
      <w:r w:rsidRPr="000B5123">
        <w:rPr>
          <w:rFonts w:ascii="Arial" w:eastAsia="Calibri" w:hAnsi="Arial" w:cs="Arial"/>
          <w:sz w:val="24"/>
          <w:szCs w:val="24"/>
        </w:rPr>
        <w:t>, ainsi réparti :</w:t>
      </w:r>
    </w:p>
    <w:p w14:paraId="6F03A88C" w14:textId="071624BA" w:rsidR="00894117" w:rsidRPr="000B5123" w:rsidRDefault="005D617A" w:rsidP="00F26BCA">
      <w:pPr>
        <w:numPr>
          <w:ilvl w:val="0"/>
          <w:numId w:val="1"/>
        </w:numPr>
        <w:spacing w:after="0"/>
        <w:ind w:left="851" w:firstLine="0"/>
        <w:contextualSpacing/>
        <w:rPr>
          <w:rFonts w:ascii="Arial" w:hAnsi="Arial" w:cs="Arial"/>
          <w:sz w:val="24"/>
          <w:szCs w:val="24"/>
        </w:rPr>
      </w:pPr>
      <w:bookmarkStart w:id="7" w:name="_Hlk101732414"/>
      <w:r w:rsidRPr="000B5123">
        <w:rPr>
          <w:rFonts w:ascii="Arial" w:hAnsi="Arial" w:cs="Arial"/>
          <w:sz w:val="24"/>
          <w:szCs w:val="24"/>
        </w:rPr>
        <w:t>2</w:t>
      </w:r>
      <w:r w:rsidR="00B04207" w:rsidRPr="000B5123">
        <w:rPr>
          <w:rFonts w:ascii="Arial" w:hAnsi="Arial" w:cs="Arial"/>
          <w:sz w:val="24"/>
          <w:szCs w:val="24"/>
        </w:rPr>
        <w:t>7 960</w:t>
      </w:r>
      <w:r w:rsidRPr="000B5123">
        <w:rPr>
          <w:rFonts w:ascii="Arial" w:hAnsi="Arial" w:cs="Arial"/>
          <w:sz w:val="24"/>
          <w:szCs w:val="24"/>
        </w:rPr>
        <w:t xml:space="preserve"> K€</w:t>
      </w:r>
      <w:bookmarkEnd w:id="7"/>
      <w:r w:rsidR="00B04207" w:rsidRPr="000B5123">
        <w:rPr>
          <w:rFonts w:ascii="Arial" w:hAnsi="Arial" w:cs="Arial"/>
          <w:sz w:val="24"/>
          <w:szCs w:val="24"/>
        </w:rPr>
        <w:t xml:space="preserve"> </w:t>
      </w:r>
      <w:r w:rsidR="00894117" w:rsidRPr="000B5123">
        <w:rPr>
          <w:rFonts w:ascii="Arial" w:hAnsi="Arial" w:cs="Arial"/>
          <w:sz w:val="24"/>
          <w:szCs w:val="24"/>
        </w:rPr>
        <w:t xml:space="preserve">en </w:t>
      </w:r>
      <w:r w:rsidR="001758C4" w:rsidRPr="000B5123">
        <w:rPr>
          <w:rFonts w:ascii="Arial" w:hAnsi="Arial" w:cs="Arial"/>
          <w:sz w:val="24"/>
          <w:szCs w:val="24"/>
        </w:rPr>
        <w:t xml:space="preserve">missions d’action sociale en </w:t>
      </w:r>
      <w:r w:rsidR="00894117" w:rsidRPr="000B5123">
        <w:rPr>
          <w:rFonts w:ascii="Arial" w:hAnsi="Arial" w:cs="Arial"/>
          <w:sz w:val="24"/>
          <w:szCs w:val="24"/>
        </w:rPr>
        <w:t xml:space="preserve">France </w:t>
      </w:r>
      <w:r w:rsidR="001758C4" w:rsidRPr="000B5123">
        <w:rPr>
          <w:rFonts w:ascii="Arial" w:hAnsi="Arial" w:cs="Arial"/>
          <w:sz w:val="24"/>
          <w:szCs w:val="24"/>
        </w:rPr>
        <w:t xml:space="preserve">et </w:t>
      </w:r>
      <w:r w:rsidR="006236BD" w:rsidRPr="000B5123">
        <w:rPr>
          <w:rFonts w:ascii="Arial" w:hAnsi="Arial" w:cs="Arial"/>
          <w:sz w:val="24"/>
          <w:szCs w:val="24"/>
        </w:rPr>
        <w:t>8</w:t>
      </w:r>
      <w:r w:rsidR="00B04207" w:rsidRPr="000B5123">
        <w:rPr>
          <w:rFonts w:ascii="Arial" w:hAnsi="Arial" w:cs="Arial"/>
          <w:sz w:val="24"/>
          <w:szCs w:val="24"/>
        </w:rPr>
        <w:t>9</w:t>
      </w:r>
      <w:r w:rsidR="00583EF2" w:rsidRPr="000B5123">
        <w:rPr>
          <w:rFonts w:ascii="Arial" w:hAnsi="Arial" w:cs="Arial"/>
          <w:sz w:val="24"/>
          <w:szCs w:val="24"/>
        </w:rPr>
        <w:t xml:space="preserve"> K€ </w:t>
      </w:r>
      <w:r w:rsidR="001758C4" w:rsidRPr="000B5123">
        <w:rPr>
          <w:rFonts w:ascii="Arial" w:hAnsi="Arial" w:cs="Arial"/>
          <w:sz w:val="24"/>
          <w:szCs w:val="24"/>
        </w:rPr>
        <w:t>en missions sociales à l’étranger</w:t>
      </w:r>
      <w:r w:rsidR="003B526E" w:rsidRPr="000B5123">
        <w:rPr>
          <w:rFonts w:ascii="Arial" w:hAnsi="Arial" w:cs="Arial"/>
          <w:sz w:val="24"/>
          <w:szCs w:val="24"/>
        </w:rPr>
        <w:t xml:space="preserve">, contre respectivement </w:t>
      </w:r>
      <w:r w:rsidR="004F39E4" w:rsidRPr="000B5123">
        <w:rPr>
          <w:rFonts w:ascii="Arial" w:hAnsi="Arial" w:cs="Arial"/>
          <w:sz w:val="24"/>
          <w:szCs w:val="24"/>
        </w:rPr>
        <w:t xml:space="preserve">29 342 K€ </w:t>
      </w:r>
      <w:r w:rsidR="003B526E" w:rsidRPr="000B5123">
        <w:rPr>
          <w:rFonts w:ascii="Arial" w:hAnsi="Arial" w:cs="Arial"/>
          <w:sz w:val="24"/>
          <w:szCs w:val="24"/>
        </w:rPr>
        <w:t xml:space="preserve">et </w:t>
      </w:r>
      <w:r w:rsidR="00B04207" w:rsidRPr="000B5123">
        <w:rPr>
          <w:rFonts w:ascii="Arial" w:hAnsi="Arial" w:cs="Arial"/>
          <w:sz w:val="24"/>
          <w:szCs w:val="24"/>
        </w:rPr>
        <w:t>86</w:t>
      </w:r>
      <w:r w:rsidR="003B526E" w:rsidRPr="000B5123">
        <w:rPr>
          <w:rFonts w:ascii="Arial" w:hAnsi="Arial" w:cs="Arial"/>
          <w:sz w:val="24"/>
          <w:szCs w:val="24"/>
        </w:rPr>
        <w:t xml:space="preserve"> K€ en 20</w:t>
      </w:r>
      <w:r w:rsidR="00654CB4" w:rsidRPr="000B5123">
        <w:rPr>
          <w:rFonts w:ascii="Arial" w:hAnsi="Arial" w:cs="Arial"/>
          <w:sz w:val="24"/>
          <w:szCs w:val="24"/>
        </w:rPr>
        <w:t>2</w:t>
      </w:r>
      <w:r w:rsidR="00B04207" w:rsidRPr="000B5123">
        <w:rPr>
          <w:rFonts w:ascii="Arial" w:hAnsi="Arial" w:cs="Arial"/>
          <w:sz w:val="24"/>
          <w:szCs w:val="24"/>
        </w:rPr>
        <w:t>2</w:t>
      </w:r>
      <w:r w:rsidR="003B526E" w:rsidRPr="000B5123">
        <w:rPr>
          <w:rFonts w:ascii="Arial" w:hAnsi="Arial" w:cs="Arial"/>
          <w:sz w:val="24"/>
          <w:szCs w:val="24"/>
        </w:rPr>
        <w:t> ;</w:t>
      </w:r>
    </w:p>
    <w:p w14:paraId="7A65FAAB" w14:textId="778B9655" w:rsidR="00894117" w:rsidRPr="000B5123" w:rsidRDefault="006236BD" w:rsidP="00F26BCA">
      <w:pPr>
        <w:numPr>
          <w:ilvl w:val="0"/>
          <w:numId w:val="1"/>
        </w:numPr>
        <w:spacing w:after="0"/>
        <w:ind w:left="851" w:firstLine="0"/>
        <w:contextualSpacing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3 </w:t>
      </w:r>
      <w:r w:rsidR="005D617A" w:rsidRPr="000B5123">
        <w:rPr>
          <w:rFonts w:ascii="Arial" w:hAnsi="Arial" w:cs="Arial"/>
          <w:sz w:val="24"/>
          <w:szCs w:val="24"/>
        </w:rPr>
        <w:t>535</w:t>
      </w:r>
      <w:r w:rsidR="00583EF2" w:rsidRPr="000B5123">
        <w:rPr>
          <w:rFonts w:ascii="Arial" w:hAnsi="Arial" w:cs="Arial"/>
          <w:sz w:val="24"/>
          <w:szCs w:val="24"/>
        </w:rPr>
        <w:t xml:space="preserve"> K€</w:t>
      </w:r>
      <w:r w:rsidR="00894117" w:rsidRPr="000B5123">
        <w:rPr>
          <w:rFonts w:ascii="Arial" w:hAnsi="Arial" w:cs="Arial"/>
          <w:sz w:val="24"/>
          <w:szCs w:val="24"/>
        </w:rPr>
        <w:t xml:space="preserve"> en missions </w:t>
      </w:r>
      <w:r w:rsidR="001758C4" w:rsidRPr="000B5123">
        <w:rPr>
          <w:rFonts w:ascii="Arial" w:hAnsi="Arial" w:cs="Arial"/>
          <w:sz w:val="24"/>
          <w:szCs w:val="24"/>
        </w:rPr>
        <w:t xml:space="preserve">d’action </w:t>
      </w:r>
      <w:r w:rsidR="00894117" w:rsidRPr="000B5123">
        <w:rPr>
          <w:rFonts w:ascii="Arial" w:hAnsi="Arial" w:cs="Arial"/>
          <w:sz w:val="24"/>
          <w:szCs w:val="24"/>
        </w:rPr>
        <w:t>culturelle</w:t>
      </w:r>
      <w:r w:rsidR="00583EF2" w:rsidRPr="000B5123">
        <w:rPr>
          <w:rFonts w:ascii="Arial" w:hAnsi="Arial" w:cs="Arial"/>
          <w:sz w:val="24"/>
          <w:szCs w:val="24"/>
        </w:rPr>
        <w:t xml:space="preserve"> contre </w:t>
      </w:r>
      <w:r w:rsidR="005D617A" w:rsidRPr="000B5123">
        <w:rPr>
          <w:rFonts w:ascii="Arial" w:hAnsi="Arial" w:cs="Arial"/>
          <w:sz w:val="24"/>
          <w:szCs w:val="24"/>
        </w:rPr>
        <w:t xml:space="preserve">3 351 K€ en 2022. </w:t>
      </w:r>
    </w:p>
    <w:p w14:paraId="354E5D0B" w14:textId="7FF4A6FA" w:rsidR="00894117" w:rsidRPr="000B5123" w:rsidRDefault="00D141B7" w:rsidP="00F26BCA">
      <w:pPr>
        <w:spacing w:after="0"/>
        <w:ind w:left="851"/>
        <w:rPr>
          <w:rFonts w:ascii="Arial" w:eastAsia="Calibri" w:hAnsi="Arial" w:cs="Arial"/>
          <w:sz w:val="24"/>
          <w:szCs w:val="24"/>
        </w:rPr>
      </w:pPr>
      <w:r w:rsidRPr="000B5123">
        <w:rPr>
          <w:rFonts w:ascii="Arial" w:eastAsia="Calibri" w:hAnsi="Arial" w:cs="Arial"/>
          <w:sz w:val="24"/>
          <w:szCs w:val="24"/>
        </w:rPr>
        <w:t xml:space="preserve">Dans cet ensemble, </w:t>
      </w:r>
      <w:r w:rsidR="00B04207" w:rsidRPr="000B5123">
        <w:rPr>
          <w:rFonts w:ascii="Arial" w:eastAsia="Calibri" w:hAnsi="Arial" w:cs="Arial"/>
          <w:sz w:val="24"/>
          <w:szCs w:val="24"/>
        </w:rPr>
        <w:t>56</w:t>
      </w:r>
      <w:r w:rsidR="00894117" w:rsidRPr="000B5123">
        <w:rPr>
          <w:rFonts w:ascii="Arial" w:eastAsia="Calibri" w:hAnsi="Arial" w:cs="Arial"/>
          <w:sz w:val="24"/>
          <w:szCs w:val="24"/>
        </w:rPr>
        <w:t xml:space="preserve"> % de</w:t>
      </w:r>
      <w:r w:rsidR="00567010" w:rsidRPr="000B5123">
        <w:rPr>
          <w:rFonts w:ascii="Arial" w:eastAsia="Calibri" w:hAnsi="Arial" w:cs="Arial"/>
          <w:sz w:val="24"/>
          <w:szCs w:val="24"/>
        </w:rPr>
        <w:t xml:space="preserve">s dépenses </w:t>
      </w:r>
      <w:r w:rsidR="004D59A4" w:rsidRPr="000B5123">
        <w:rPr>
          <w:rFonts w:ascii="Arial" w:eastAsia="Calibri" w:hAnsi="Arial" w:cs="Arial"/>
          <w:sz w:val="24"/>
          <w:szCs w:val="24"/>
        </w:rPr>
        <w:t xml:space="preserve">de missions sociales </w:t>
      </w:r>
      <w:r w:rsidR="009A2FAA" w:rsidRPr="000B5123">
        <w:rPr>
          <w:rFonts w:ascii="Arial" w:eastAsia="Calibri" w:hAnsi="Arial" w:cs="Arial"/>
          <w:sz w:val="24"/>
          <w:szCs w:val="24"/>
        </w:rPr>
        <w:t xml:space="preserve">sont </w:t>
      </w:r>
      <w:r w:rsidR="00894117" w:rsidRPr="000B5123">
        <w:rPr>
          <w:rFonts w:ascii="Arial" w:eastAsia="Calibri" w:hAnsi="Arial" w:cs="Arial"/>
          <w:sz w:val="24"/>
          <w:szCs w:val="24"/>
        </w:rPr>
        <w:t>imputable</w:t>
      </w:r>
      <w:r w:rsidR="009A2FAA" w:rsidRPr="000B5123">
        <w:rPr>
          <w:rFonts w:ascii="Arial" w:eastAsia="Calibri" w:hAnsi="Arial" w:cs="Arial"/>
          <w:sz w:val="24"/>
          <w:szCs w:val="24"/>
        </w:rPr>
        <w:t>s</w:t>
      </w:r>
      <w:r w:rsidR="00894117" w:rsidRPr="000B5123">
        <w:rPr>
          <w:rFonts w:ascii="Arial" w:eastAsia="Calibri" w:hAnsi="Arial" w:cs="Arial"/>
          <w:sz w:val="24"/>
          <w:szCs w:val="24"/>
        </w:rPr>
        <w:t xml:space="preserve"> aux établissements </w:t>
      </w:r>
      <w:r w:rsidR="00317134" w:rsidRPr="000B5123">
        <w:rPr>
          <w:rFonts w:ascii="Arial" w:eastAsia="Calibri" w:hAnsi="Arial" w:cs="Arial"/>
          <w:sz w:val="24"/>
          <w:szCs w:val="24"/>
        </w:rPr>
        <w:t>sociaux et médico-sociaux</w:t>
      </w:r>
      <w:r w:rsidR="00894117" w:rsidRPr="000B5123">
        <w:rPr>
          <w:rFonts w:ascii="Arial" w:eastAsia="Calibri" w:hAnsi="Arial" w:cs="Arial"/>
          <w:sz w:val="24"/>
          <w:szCs w:val="24"/>
        </w:rPr>
        <w:t xml:space="preserve"> (</w:t>
      </w:r>
      <w:r w:rsidR="00B04207" w:rsidRPr="000B5123">
        <w:rPr>
          <w:rFonts w:ascii="Arial" w:eastAsia="Calibri" w:hAnsi="Arial" w:cs="Arial"/>
          <w:sz w:val="24"/>
          <w:szCs w:val="24"/>
        </w:rPr>
        <w:t>12 555 K€</w:t>
      </w:r>
      <w:r w:rsidR="00317134" w:rsidRPr="000B5123">
        <w:rPr>
          <w:rFonts w:ascii="Arial" w:eastAsia="Calibri" w:hAnsi="Arial" w:cs="Arial"/>
          <w:sz w:val="24"/>
          <w:szCs w:val="24"/>
        </w:rPr>
        <w:t>) et</w:t>
      </w:r>
      <w:r w:rsidR="00894117" w:rsidRPr="000B5123">
        <w:rPr>
          <w:rFonts w:ascii="Arial" w:eastAsia="Calibri" w:hAnsi="Arial" w:cs="Arial"/>
          <w:sz w:val="24"/>
          <w:szCs w:val="24"/>
        </w:rPr>
        <w:t xml:space="preserve"> aux ateliers autonomes </w:t>
      </w:r>
      <w:r w:rsidR="001A791D">
        <w:rPr>
          <w:rFonts w:ascii="Arial" w:eastAsia="Calibri" w:hAnsi="Arial" w:cs="Arial"/>
          <w:sz w:val="24"/>
          <w:szCs w:val="24"/>
        </w:rPr>
        <w:br/>
      </w:r>
      <w:r w:rsidR="00894117" w:rsidRPr="000B5123">
        <w:rPr>
          <w:rFonts w:ascii="Arial" w:eastAsia="Calibri" w:hAnsi="Arial" w:cs="Arial"/>
          <w:sz w:val="24"/>
          <w:szCs w:val="24"/>
        </w:rPr>
        <w:t>(</w:t>
      </w:r>
      <w:r w:rsidR="00B04207" w:rsidRPr="000B5123">
        <w:rPr>
          <w:rFonts w:ascii="Arial" w:eastAsia="Calibri" w:hAnsi="Arial" w:cs="Arial"/>
          <w:sz w:val="24"/>
          <w:szCs w:val="24"/>
        </w:rPr>
        <w:t>5 001 K€</w:t>
      </w:r>
      <w:r w:rsidR="00894117" w:rsidRPr="000B5123">
        <w:rPr>
          <w:rFonts w:ascii="Arial" w:eastAsia="Calibri" w:hAnsi="Arial" w:cs="Arial"/>
          <w:sz w:val="24"/>
          <w:szCs w:val="24"/>
        </w:rPr>
        <w:t>).</w:t>
      </w:r>
    </w:p>
    <w:p w14:paraId="151149C5" w14:textId="0E6D8441" w:rsidR="00B04207" w:rsidRPr="000B5123" w:rsidRDefault="00B04207" w:rsidP="00F26BCA">
      <w:pPr>
        <w:spacing w:after="0"/>
        <w:ind w:left="851"/>
        <w:rPr>
          <w:rFonts w:ascii="Arial" w:eastAsia="Calibri" w:hAnsi="Arial" w:cs="Arial"/>
          <w:sz w:val="24"/>
          <w:szCs w:val="24"/>
        </w:rPr>
      </w:pPr>
      <w:r w:rsidRPr="000B5123">
        <w:rPr>
          <w:rFonts w:ascii="Arial" w:eastAsia="Calibri" w:hAnsi="Arial" w:cs="Arial"/>
          <w:sz w:val="24"/>
          <w:szCs w:val="24"/>
        </w:rPr>
        <w:t>La baisse de la valeur des missions sociales des établissements et ateliers</w:t>
      </w:r>
      <w:r w:rsidR="00213CF3" w:rsidRPr="000B5123">
        <w:rPr>
          <w:rFonts w:ascii="Arial" w:eastAsia="Calibri" w:hAnsi="Arial" w:cs="Arial"/>
          <w:sz w:val="24"/>
          <w:szCs w:val="24"/>
        </w:rPr>
        <w:t xml:space="preserve"> en 2023</w:t>
      </w:r>
      <w:r w:rsidRPr="000B5123">
        <w:rPr>
          <w:rFonts w:ascii="Arial" w:eastAsia="Calibri" w:hAnsi="Arial" w:cs="Arial"/>
          <w:sz w:val="24"/>
          <w:szCs w:val="24"/>
        </w:rPr>
        <w:t xml:space="preserve"> résulte d’une analyse </w:t>
      </w:r>
      <w:r w:rsidR="004F39E4" w:rsidRPr="000B5123">
        <w:rPr>
          <w:rFonts w:ascii="Arial" w:eastAsia="Calibri" w:hAnsi="Arial" w:cs="Arial"/>
          <w:sz w:val="24"/>
          <w:szCs w:val="24"/>
        </w:rPr>
        <w:t xml:space="preserve">faite au cas par cas </w:t>
      </w:r>
      <w:r w:rsidRPr="000B5123">
        <w:rPr>
          <w:rFonts w:ascii="Arial" w:eastAsia="Calibri" w:hAnsi="Arial" w:cs="Arial"/>
          <w:sz w:val="24"/>
          <w:szCs w:val="24"/>
        </w:rPr>
        <w:t>des frais de fonctionnement de ces entités (coût des agents affectés à des tâches de direction, comptabilité, ressources humaines, services généraux</w:t>
      </w:r>
      <w:r w:rsidR="004F39E4" w:rsidRPr="000B5123">
        <w:rPr>
          <w:rFonts w:ascii="Arial" w:eastAsia="Calibri" w:hAnsi="Arial" w:cs="Arial"/>
          <w:sz w:val="24"/>
          <w:szCs w:val="24"/>
        </w:rPr>
        <w:t xml:space="preserve">) reclassés en frais d’administration générale, conformément aux recommandations du rapport de juin 2023 de la Cour des comptes. </w:t>
      </w:r>
    </w:p>
    <w:p w14:paraId="1A5450A1" w14:textId="49059146" w:rsidR="00894117" w:rsidRPr="000B5123" w:rsidRDefault="00894117" w:rsidP="00F26BCA">
      <w:pPr>
        <w:spacing w:after="0"/>
        <w:ind w:left="851"/>
        <w:rPr>
          <w:rFonts w:ascii="Arial" w:eastAsia="Calibri" w:hAnsi="Arial" w:cs="Arial"/>
          <w:sz w:val="24"/>
          <w:szCs w:val="24"/>
        </w:rPr>
      </w:pPr>
      <w:r w:rsidRPr="000B5123">
        <w:rPr>
          <w:rFonts w:ascii="Arial" w:eastAsia="Calibri" w:hAnsi="Arial" w:cs="Arial"/>
          <w:sz w:val="24"/>
          <w:szCs w:val="24"/>
        </w:rPr>
        <w:t>Le solde</w:t>
      </w:r>
      <w:r w:rsidR="00213CF3" w:rsidRPr="000B5123">
        <w:rPr>
          <w:rFonts w:ascii="Arial" w:eastAsia="Calibri" w:hAnsi="Arial" w:cs="Arial"/>
          <w:sz w:val="24"/>
          <w:szCs w:val="24"/>
        </w:rPr>
        <w:t xml:space="preserve">, soit 14 298 K€, représente 44 % des dépenses sociales et </w:t>
      </w:r>
      <w:r w:rsidRPr="000B5123">
        <w:rPr>
          <w:rFonts w:ascii="Arial" w:eastAsia="Calibri" w:hAnsi="Arial" w:cs="Arial"/>
          <w:sz w:val="24"/>
          <w:szCs w:val="24"/>
        </w:rPr>
        <w:t>regroupe pour l’essentiel les activités directement animées par le siège</w:t>
      </w:r>
      <w:r w:rsidR="007A2542" w:rsidRPr="000B5123">
        <w:rPr>
          <w:rFonts w:ascii="Arial" w:eastAsia="Calibri" w:hAnsi="Arial" w:cs="Arial"/>
          <w:sz w:val="24"/>
          <w:szCs w:val="24"/>
        </w:rPr>
        <w:t xml:space="preserve">, rendues souvent gratuitement et </w:t>
      </w:r>
      <w:r w:rsidR="007A2542" w:rsidRPr="000B5123">
        <w:rPr>
          <w:rFonts w:ascii="Arial" w:eastAsia="Calibri" w:hAnsi="Arial" w:cs="Arial"/>
          <w:sz w:val="24"/>
          <w:szCs w:val="24"/>
        </w:rPr>
        <w:lastRenderedPageBreak/>
        <w:t xml:space="preserve">financées parfois par une participation demandée aux bénéficiaires, </w:t>
      </w:r>
      <w:r w:rsidRPr="000B5123">
        <w:rPr>
          <w:rFonts w:ascii="Arial" w:eastAsia="Calibri" w:hAnsi="Arial" w:cs="Arial"/>
          <w:sz w:val="24"/>
          <w:szCs w:val="24"/>
        </w:rPr>
        <w:t xml:space="preserve">qu’il s’agisse des comités </w:t>
      </w:r>
      <w:r w:rsidR="007D1400" w:rsidRPr="000B5123">
        <w:rPr>
          <w:rFonts w:ascii="Arial" w:eastAsia="Calibri" w:hAnsi="Arial" w:cs="Arial"/>
          <w:sz w:val="24"/>
          <w:szCs w:val="24"/>
        </w:rPr>
        <w:t>Valentin Haüy</w:t>
      </w:r>
      <w:r w:rsidR="00402DE6" w:rsidRPr="000B5123">
        <w:rPr>
          <w:rFonts w:ascii="Arial" w:eastAsia="Calibri" w:hAnsi="Arial" w:cs="Arial"/>
          <w:sz w:val="24"/>
          <w:szCs w:val="24"/>
        </w:rPr>
        <w:t>, de</w:t>
      </w:r>
      <w:r w:rsidRPr="000B5123">
        <w:rPr>
          <w:rFonts w:ascii="Arial" w:eastAsia="Calibri" w:hAnsi="Arial" w:cs="Arial"/>
          <w:sz w:val="24"/>
          <w:szCs w:val="24"/>
        </w:rPr>
        <w:t xml:space="preserve"> la médiathèque, du </w:t>
      </w:r>
      <w:r w:rsidR="007D1400" w:rsidRPr="000B5123">
        <w:rPr>
          <w:rFonts w:ascii="Arial" w:eastAsia="Calibri" w:hAnsi="Arial" w:cs="Arial"/>
          <w:sz w:val="24"/>
          <w:szCs w:val="24"/>
        </w:rPr>
        <w:t>service du matériel spécialisé</w:t>
      </w:r>
      <w:r w:rsidRPr="000B5123">
        <w:rPr>
          <w:rFonts w:ascii="Arial" w:eastAsia="Calibri" w:hAnsi="Arial" w:cs="Arial"/>
          <w:sz w:val="24"/>
          <w:szCs w:val="24"/>
        </w:rPr>
        <w:t>, de l’imprimerie, du livre audio, de la résidence-services, du service social</w:t>
      </w:r>
      <w:r w:rsidR="007A2542" w:rsidRPr="000B5123">
        <w:rPr>
          <w:rFonts w:ascii="Arial" w:eastAsia="Calibri" w:hAnsi="Arial" w:cs="Arial"/>
          <w:sz w:val="24"/>
          <w:szCs w:val="24"/>
        </w:rPr>
        <w:t>.</w:t>
      </w:r>
      <w:r w:rsidR="00F12598" w:rsidRPr="000B5123">
        <w:rPr>
          <w:rFonts w:ascii="Arial" w:eastAsia="Calibri" w:hAnsi="Arial" w:cs="Arial"/>
          <w:sz w:val="24"/>
          <w:szCs w:val="24"/>
        </w:rPr>
        <w:t xml:space="preserve"> </w:t>
      </w:r>
      <w:r w:rsidR="00997540" w:rsidRPr="000B5123">
        <w:rPr>
          <w:rFonts w:ascii="Arial" w:eastAsia="Calibri" w:hAnsi="Arial" w:cs="Arial"/>
          <w:sz w:val="24"/>
          <w:szCs w:val="24"/>
        </w:rPr>
        <w:t xml:space="preserve">Sont incluses </w:t>
      </w:r>
      <w:r w:rsidR="00F12598" w:rsidRPr="000B5123">
        <w:rPr>
          <w:rFonts w:ascii="Arial" w:eastAsia="Calibri" w:hAnsi="Arial" w:cs="Arial"/>
          <w:sz w:val="24"/>
          <w:szCs w:val="24"/>
        </w:rPr>
        <w:t xml:space="preserve">les actions de sensibilisation </w:t>
      </w:r>
      <w:r w:rsidR="00AC6BC7" w:rsidRPr="000B5123">
        <w:rPr>
          <w:rFonts w:ascii="Arial" w:eastAsia="Calibri" w:hAnsi="Arial" w:cs="Arial"/>
          <w:sz w:val="24"/>
          <w:szCs w:val="24"/>
        </w:rPr>
        <w:t>du grand public à la déficience visuelle </w:t>
      </w:r>
      <w:r w:rsidR="00D415DB" w:rsidRPr="000B5123">
        <w:rPr>
          <w:rFonts w:ascii="Arial" w:eastAsia="Calibri" w:hAnsi="Arial" w:cs="Arial"/>
          <w:sz w:val="24"/>
          <w:szCs w:val="24"/>
        </w:rPr>
        <w:t xml:space="preserve">pour la faire </w:t>
      </w:r>
      <w:r w:rsidR="00AC6BC7" w:rsidRPr="000B5123">
        <w:rPr>
          <w:rFonts w:ascii="Arial" w:eastAsia="Calibri" w:hAnsi="Arial" w:cs="Arial"/>
          <w:sz w:val="24"/>
          <w:szCs w:val="24"/>
        </w:rPr>
        <w:t>connaitre et</w:t>
      </w:r>
      <w:r w:rsidR="00997540" w:rsidRPr="000B5123">
        <w:rPr>
          <w:rFonts w:ascii="Arial" w:eastAsia="Calibri" w:hAnsi="Arial" w:cs="Arial"/>
          <w:sz w:val="24"/>
          <w:szCs w:val="24"/>
        </w:rPr>
        <w:t xml:space="preserve"> aider les déficients visuels </w:t>
      </w:r>
      <w:r w:rsidR="00D415DB" w:rsidRPr="000B5123">
        <w:rPr>
          <w:rFonts w:ascii="Arial" w:eastAsia="Calibri" w:hAnsi="Arial" w:cs="Arial"/>
          <w:sz w:val="24"/>
          <w:szCs w:val="24"/>
        </w:rPr>
        <w:t>grâce à nos services</w:t>
      </w:r>
      <w:r w:rsidR="00AC6BC7" w:rsidRPr="000B5123">
        <w:rPr>
          <w:rFonts w:ascii="Arial" w:eastAsia="Calibri" w:hAnsi="Arial" w:cs="Arial"/>
          <w:sz w:val="24"/>
          <w:szCs w:val="24"/>
        </w:rPr>
        <w:t xml:space="preserve">. </w:t>
      </w:r>
      <w:r w:rsidR="00F12598" w:rsidRPr="000B5123">
        <w:rPr>
          <w:rFonts w:ascii="Arial" w:eastAsia="Calibri" w:hAnsi="Arial" w:cs="Arial"/>
          <w:sz w:val="24"/>
          <w:szCs w:val="24"/>
        </w:rPr>
        <w:t xml:space="preserve">  </w:t>
      </w:r>
    </w:p>
    <w:p w14:paraId="2EAB488B" w14:textId="116CDF77" w:rsidR="00CB4703" w:rsidRPr="000B5123" w:rsidRDefault="00894117" w:rsidP="00F26BCA">
      <w:pPr>
        <w:spacing w:after="0"/>
        <w:ind w:left="851"/>
        <w:rPr>
          <w:rFonts w:ascii="Arial" w:eastAsia="Calibri" w:hAnsi="Arial" w:cs="Arial"/>
          <w:sz w:val="24"/>
          <w:szCs w:val="24"/>
        </w:rPr>
      </w:pPr>
      <w:r w:rsidRPr="000B5123">
        <w:rPr>
          <w:rFonts w:ascii="Arial" w:eastAsia="Calibri" w:hAnsi="Arial" w:cs="Arial"/>
          <w:sz w:val="24"/>
          <w:szCs w:val="24"/>
        </w:rPr>
        <w:t xml:space="preserve">Les </w:t>
      </w:r>
      <w:r w:rsidR="002515D7" w:rsidRPr="000B5123">
        <w:rPr>
          <w:rFonts w:ascii="Arial" w:eastAsia="Calibri" w:hAnsi="Arial" w:cs="Arial"/>
          <w:b/>
          <w:sz w:val="24"/>
          <w:szCs w:val="24"/>
        </w:rPr>
        <w:t>f</w:t>
      </w:r>
      <w:r w:rsidRPr="000B5123">
        <w:rPr>
          <w:rFonts w:ascii="Arial" w:eastAsia="Calibri" w:hAnsi="Arial" w:cs="Arial"/>
          <w:b/>
          <w:sz w:val="24"/>
          <w:szCs w:val="24"/>
        </w:rPr>
        <w:t>rais de recherche de fonds</w:t>
      </w:r>
      <w:r w:rsidRPr="000B5123">
        <w:rPr>
          <w:rFonts w:ascii="Arial" w:eastAsia="Calibri" w:hAnsi="Arial" w:cs="Arial"/>
          <w:sz w:val="24"/>
          <w:szCs w:val="24"/>
        </w:rPr>
        <w:t xml:space="preserve"> </w:t>
      </w:r>
      <w:r w:rsidR="00213CF3" w:rsidRPr="000B5123">
        <w:rPr>
          <w:rFonts w:ascii="Arial" w:eastAsia="Calibri" w:hAnsi="Arial" w:cs="Arial"/>
          <w:sz w:val="24"/>
          <w:szCs w:val="24"/>
        </w:rPr>
        <w:t>retrouve</w:t>
      </w:r>
      <w:r w:rsidR="00F021CE" w:rsidRPr="000B5123">
        <w:rPr>
          <w:rFonts w:ascii="Arial" w:eastAsia="Calibri" w:hAnsi="Arial" w:cs="Arial"/>
          <w:sz w:val="24"/>
          <w:szCs w:val="24"/>
        </w:rPr>
        <w:t>nt</w:t>
      </w:r>
      <w:r w:rsidR="00213CF3" w:rsidRPr="000B5123">
        <w:rPr>
          <w:rFonts w:ascii="Arial" w:eastAsia="Calibri" w:hAnsi="Arial" w:cs="Arial"/>
          <w:sz w:val="24"/>
          <w:szCs w:val="24"/>
        </w:rPr>
        <w:t xml:space="preserve"> le niveau des années précédentes</w:t>
      </w:r>
      <w:r w:rsidR="00CB4703" w:rsidRPr="000B5123">
        <w:rPr>
          <w:rFonts w:ascii="Arial" w:eastAsia="Calibri" w:hAnsi="Arial" w:cs="Arial"/>
          <w:sz w:val="24"/>
          <w:szCs w:val="24"/>
        </w:rPr>
        <w:t xml:space="preserve"> </w:t>
      </w:r>
      <w:r w:rsidRPr="000B5123">
        <w:rPr>
          <w:rFonts w:ascii="Arial" w:eastAsia="Calibri" w:hAnsi="Arial" w:cs="Arial"/>
          <w:sz w:val="24"/>
          <w:szCs w:val="24"/>
        </w:rPr>
        <w:t>(</w:t>
      </w:r>
      <w:r w:rsidR="00213CF3" w:rsidRPr="000B5123">
        <w:rPr>
          <w:rFonts w:ascii="Arial" w:eastAsia="Calibri" w:hAnsi="Arial" w:cs="Arial"/>
          <w:sz w:val="24"/>
          <w:szCs w:val="24"/>
        </w:rPr>
        <w:t xml:space="preserve">2 867 K€ contre </w:t>
      </w:r>
      <w:r w:rsidR="00CB4703" w:rsidRPr="000B5123">
        <w:rPr>
          <w:rFonts w:ascii="Arial" w:eastAsia="Calibri" w:hAnsi="Arial" w:cs="Arial"/>
          <w:sz w:val="24"/>
          <w:szCs w:val="24"/>
        </w:rPr>
        <w:t xml:space="preserve">2 447 K€ </w:t>
      </w:r>
      <w:r w:rsidR="00213CF3" w:rsidRPr="000B5123">
        <w:rPr>
          <w:rFonts w:ascii="Arial" w:eastAsia="Calibri" w:hAnsi="Arial" w:cs="Arial"/>
          <w:sz w:val="24"/>
          <w:szCs w:val="24"/>
        </w:rPr>
        <w:t>en 2022</w:t>
      </w:r>
      <w:r w:rsidRPr="000B5123">
        <w:rPr>
          <w:rFonts w:ascii="Arial" w:eastAsia="Calibri" w:hAnsi="Arial" w:cs="Arial"/>
          <w:sz w:val="24"/>
          <w:szCs w:val="24"/>
        </w:rPr>
        <w:t>)</w:t>
      </w:r>
      <w:r w:rsidR="008A1D50" w:rsidRPr="000B5123">
        <w:rPr>
          <w:rFonts w:ascii="Arial" w:eastAsia="Calibri" w:hAnsi="Arial" w:cs="Arial"/>
          <w:sz w:val="24"/>
          <w:szCs w:val="24"/>
        </w:rPr>
        <w:t xml:space="preserve">, </w:t>
      </w:r>
      <w:r w:rsidR="00C11925" w:rsidRPr="000B5123">
        <w:rPr>
          <w:rFonts w:ascii="Arial" w:eastAsia="Calibri" w:hAnsi="Arial" w:cs="Arial"/>
          <w:sz w:val="24"/>
          <w:szCs w:val="24"/>
        </w:rPr>
        <w:t>après une année 2022 exceptionnellement faible.</w:t>
      </w:r>
      <w:r w:rsidR="00CB4703" w:rsidRPr="000B5123">
        <w:rPr>
          <w:rFonts w:ascii="Arial" w:eastAsia="Calibri" w:hAnsi="Arial" w:cs="Arial"/>
          <w:sz w:val="24"/>
          <w:szCs w:val="24"/>
        </w:rPr>
        <w:t xml:space="preserve"> </w:t>
      </w:r>
    </w:p>
    <w:p w14:paraId="1A1C6CDF" w14:textId="67B6B13D" w:rsidR="00894117" w:rsidRPr="000B5123" w:rsidRDefault="00894117" w:rsidP="00F26BCA">
      <w:pPr>
        <w:spacing w:after="0"/>
        <w:ind w:left="851"/>
        <w:rPr>
          <w:rFonts w:ascii="Arial" w:eastAsia="Calibri" w:hAnsi="Arial" w:cs="Arial"/>
          <w:sz w:val="24"/>
          <w:szCs w:val="24"/>
        </w:rPr>
      </w:pPr>
      <w:r w:rsidRPr="000B5123">
        <w:rPr>
          <w:rFonts w:ascii="Arial" w:eastAsia="Calibri" w:hAnsi="Arial" w:cs="Arial"/>
          <w:sz w:val="24"/>
          <w:szCs w:val="24"/>
        </w:rPr>
        <w:t xml:space="preserve">Les </w:t>
      </w:r>
      <w:r w:rsidR="002515D7" w:rsidRPr="000B5123">
        <w:rPr>
          <w:rFonts w:ascii="Arial" w:eastAsia="Calibri" w:hAnsi="Arial" w:cs="Arial"/>
          <w:b/>
          <w:sz w:val="24"/>
          <w:szCs w:val="24"/>
        </w:rPr>
        <w:t>f</w:t>
      </w:r>
      <w:r w:rsidRPr="000B5123">
        <w:rPr>
          <w:rFonts w:ascii="Arial" w:eastAsia="Calibri" w:hAnsi="Arial" w:cs="Arial"/>
          <w:b/>
          <w:sz w:val="24"/>
          <w:szCs w:val="24"/>
        </w:rPr>
        <w:t>rais de fonctionnement</w:t>
      </w:r>
      <w:r w:rsidRPr="000B5123">
        <w:rPr>
          <w:rFonts w:ascii="Arial" w:eastAsia="Calibri" w:hAnsi="Arial" w:cs="Arial"/>
          <w:sz w:val="24"/>
          <w:szCs w:val="24"/>
        </w:rPr>
        <w:t xml:space="preserve"> </w:t>
      </w:r>
      <w:r w:rsidR="004E34B8" w:rsidRPr="000B5123">
        <w:rPr>
          <w:rFonts w:ascii="Arial" w:eastAsia="Calibri" w:hAnsi="Arial" w:cs="Arial"/>
          <w:sz w:val="24"/>
          <w:szCs w:val="24"/>
        </w:rPr>
        <w:t xml:space="preserve">comprennent </w:t>
      </w:r>
      <w:r w:rsidR="0016272E" w:rsidRPr="000B5123">
        <w:rPr>
          <w:rFonts w:ascii="Arial" w:eastAsia="Calibri" w:hAnsi="Arial" w:cs="Arial"/>
          <w:sz w:val="24"/>
          <w:szCs w:val="24"/>
        </w:rPr>
        <w:t xml:space="preserve">les frais d’administration générale </w:t>
      </w:r>
      <w:r w:rsidR="004E34B8" w:rsidRPr="000B5123">
        <w:rPr>
          <w:rFonts w:ascii="Arial" w:eastAsia="Calibri" w:hAnsi="Arial" w:cs="Arial"/>
          <w:sz w:val="24"/>
          <w:szCs w:val="24"/>
        </w:rPr>
        <w:t xml:space="preserve">pour </w:t>
      </w:r>
      <w:r w:rsidR="001A791D">
        <w:rPr>
          <w:rFonts w:ascii="Arial" w:eastAsia="Calibri" w:hAnsi="Arial" w:cs="Arial"/>
          <w:sz w:val="24"/>
          <w:szCs w:val="24"/>
        </w:rPr>
        <w:br/>
      </w:r>
      <w:r w:rsidR="00C11925" w:rsidRPr="000B5123">
        <w:rPr>
          <w:rFonts w:ascii="Arial" w:eastAsia="Calibri" w:hAnsi="Arial" w:cs="Arial"/>
          <w:sz w:val="24"/>
          <w:szCs w:val="24"/>
        </w:rPr>
        <w:t xml:space="preserve">6 918 K€, à comparer à 4 011 K€ en 2022, en forte hausse à la suite de la modification des règles de calcul exposée plus haut.  </w:t>
      </w:r>
    </w:p>
    <w:p w14:paraId="4F895DC9" w14:textId="5A317914" w:rsidR="00894117" w:rsidRPr="000B5123" w:rsidRDefault="00894117" w:rsidP="00F26BCA">
      <w:pPr>
        <w:spacing w:after="0"/>
        <w:ind w:left="851"/>
        <w:rPr>
          <w:rFonts w:ascii="Arial" w:eastAsia="Calibri" w:hAnsi="Arial" w:cs="Arial"/>
          <w:sz w:val="24"/>
          <w:szCs w:val="24"/>
        </w:rPr>
      </w:pPr>
      <w:r w:rsidRPr="000B5123">
        <w:rPr>
          <w:rFonts w:ascii="Arial" w:eastAsia="Calibri" w:hAnsi="Arial" w:cs="Arial"/>
          <w:sz w:val="24"/>
          <w:szCs w:val="24"/>
        </w:rPr>
        <w:t>Les charges liées à la gestion patrimoniale</w:t>
      </w:r>
      <w:r w:rsidR="000A555A" w:rsidRPr="000B5123">
        <w:rPr>
          <w:rFonts w:ascii="Arial" w:eastAsia="Calibri" w:hAnsi="Arial" w:cs="Arial"/>
          <w:sz w:val="24"/>
          <w:szCs w:val="24"/>
        </w:rPr>
        <w:t xml:space="preserve"> s’élèvent à </w:t>
      </w:r>
      <w:r w:rsidR="00C11925" w:rsidRPr="000B5123">
        <w:rPr>
          <w:rFonts w:ascii="Arial" w:eastAsia="Calibri" w:hAnsi="Arial" w:cs="Arial"/>
          <w:sz w:val="24"/>
          <w:szCs w:val="24"/>
        </w:rPr>
        <w:t>144</w:t>
      </w:r>
      <w:r w:rsidR="004B12F6" w:rsidRPr="000B5123">
        <w:rPr>
          <w:rFonts w:ascii="Arial" w:eastAsia="Calibri" w:hAnsi="Arial" w:cs="Arial"/>
          <w:sz w:val="24"/>
          <w:szCs w:val="24"/>
        </w:rPr>
        <w:t xml:space="preserve"> K€ contre </w:t>
      </w:r>
      <w:r w:rsidR="00CB4703" w:rsidRPr="000B5123">
        <w:rPr>
          <w:rFonts w:ascii="Arial" w:eastAsia="Calibri" w:hAnsi="Arial" w:cs="Arial"/>
          <w:sz w:val="24"/>
          <w:szCs w:val="24"/>
        </w:rPr>
        <w:t>945 K€</w:t>
      </w:r>
      <w:r w:rsidR="004B12F6" w:rsidRPr="000B5123">
        <w:rPr>
          <w:rFonts w:ascii="Arial" w:eastAsia="Calibri" w:hAnsi="Arial" w:cs="Arial"/>
          <w:sz w:val="24"/>
          <w:szCs w:val="24"/>
        </w:rPr>
        <w:t xml:space="preserve"> en 2022</w:t>
      </w:r>
      <w:r w:rsidR="001A791D">
        <w:rPr>
          <w:rFonts w:ascii="Arial" w:eastAsia="Calibri" w:hAnsi="Arial" w:cs="Arial"/>
          <w:sz w:val="24"/>
          <w:szCs w:val="24"/>
        </w:rPr>
        <w:t>.</w:t>
      </w:r>
      <w:r w:rsidR="006579D6" w:rsidRPr="000B5123">
        <w:rPr>
          <w:rFonts w:ascii="Arial" w:eastAsia="Calibri" w:hAnsi="Arial" w:cs="Arial"/>
          <w:sz w:val="24"/>
          <w:szCs w:val="24"/>
        </w:rPr>
        <w:t xml:space="preserve"> </w:t>
      </w:r>
    </w:p>
    <w:p w14:paraId="12B916A0" w14:textId="36FEC963" w:rsidR="00333FA6" w:rsidRPr="000B5123" w:rsidRDefault="002227FA" w:rsidP="00F26BCA">
      <w:pPr>
        <w:spacing w:after="0"/>
        <w:ind w:left="85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À</w:t>
      </w:r>
      <w:r w:rsidR="006579D6" w:rsidRPr="000B5123">
        <w:rPr>
          <w:rFonts w:ascii="Arial" w:eastAsia="Calibri" w:hAnsi="Arial" w:cs="Arial"/>
          <w:sz w:val="24"/>
          <w:szCs w:val="24"/>
        </w:rPr>
        <w:t xml:space="preserve"> ces charges enregistrées en comptabilité s’ajoutent les contributions volontaires en nature pour</w:t>
      </w:r>
      <w:r w:rsidR="000A555A" w:rsidRPr="000B5123">
        <w:rPr>
          <w:rFonts w:ascii="Arial" w:eastAsia="Calibri" w:hAnsi="Arial" w:cs="Arial"/>
          <w:sz w:val="24"/>
          <w:szCs w:val="24"/>
        </w:rPr>
        <w:t xml:space="preserve"> </w:t>
      </w:r>
      <w:r w:rsidR="00CB4703" w:rsidRPr="000B5123">
        <w:rPr>
          <w:rFonts w:ascii="Arial" w:eastAsia="Calibri" w:hAnsi="Arial" w:cs="Arial"/>
          <w:sz w:val="24"/>
          <w:szCs w:val="24"/>
        </w:rPr>
        <w:t>1</w:t>
      </w:r>
      <w:r w:rsidR="004B12F6" w:rsidRPr="000B5123">
        <w:rPr>
          <w:rFonts w:ascii="Arial" w:eastAsia="Calibri" w:hAnsi="Arial" w:cs="Arial"/>
          <w:sz w:val="24"/>
          <w:szCs w:val="24"/>
        </w:rPr>
        <w:t>3 248</w:t>
      </w:r>
      <w:r w:rsidR="00CB4703" w:rsidRPr="000B5123">
        <w:rPr>
          <w:rFonts w:ascii="Arial" w:eastAsia="Calibri" w:hAnsi="Arial" w:cs="Arial"/>
          <w:sz w:val="24"/>
          <w:szCs w:val="24"/>
        </w:rPr>
        <w:t xml:space="preserve"> K€</w:t>
      </w:r>
      <w:r w:rsidR="000A555A" w:rsidRPr="000B5123">
        <w:rPr>
          <w:rFonts w:ascii="Arial" w:eastAsia="Calibri" w:hAnsi="Arial" w:cs="Arial"/>
          <w:sz w:val="24"/>
          <w:szCs w:val="24"/>
        </w:rPr>
        <w:t xml:space="preserve">, en progression par rapport aux </w:t>
      </w:r>
      <w:r w:rsidR="004B12F6" w:rsidRPr="000B5123">
        <w:rPr>
          <w:rFonts w:ascii="Arial" w:eastAsia="Calibri" w:hAnsi="Arial" w:cs="Arial"/>
          <w:sz w:val="24"/>
          <w:szCs w:val="24"/>
        </w:rPr>
        <w:t>10 064</w:t>
      </w:r>
      <w:r w:rsidR="00CB4703" w:rsidRPr="000B5123">
        <w:rPr>
          <w:rFonts w:ascii="Arial" w:eastAsia="Calibri" w:hAnsi="Arial" w:cs="Arial"/>
          <w:sz w:val="24"/>
          <w:szCs w:val="24"/>
        </w:rPr>
        <w:t xml:space="preserve"> K</w:t>
      </w:r>
      <w:r w:rsidR="006579D6" w:rsidRPr="000B5123">
        <w:rPr>
          <w:rFonts w:ascii="Arial" w:eastAsia="Calibri" w:hAnsi="Arial" w:cs="Arial"/>
          <w:sz w:val="24"/>
          <w:szCs w:val="24"/>
        </w:rPr>
        <w:t>€</w:t>
      </w:r>
      <w:r w:rsidR="000A555A" w:rsidRPr="000B5123">
        <w:rPr>
          <w:rFonts w:ascii="Arial" w:eastAsia="Calibri" w:hAnsi="Arial" w:cs="Arial"/>
          <w:sz w:val="24"/>
          <w:szCs w:val="24"/>
        </w:rPr>
        <w:t xml:space="preserve"> de 202</w:t>
      </w:r>
      <w:r w:rsidR="004B12F6" w:rsidRPr="000B5123">
        <w:rPr>
          <w:rFonts w:ascii="Arial" w:eastAsia="Calibri" w:hAnsi="Arial" w:cs="Arial"/>
          <w:sz w:val="24"/>
          <w:szCs w:val="24"/>
        </w:rPr>
        <w:t>2</w:t>
      </w:r>
      <w:r w:rsidR="006579D6" w:rsidRPr="000B5123">
        <w:rPr>
          <w:rFonts w:ascii="Arial" w:eastAsia="Calibri" w:hAnsi="Arial" w:cs="Arial"/>
          <w:sz w:val="24"/>
          <w:szCs w:val="24"/>
        </w:rPr>
        <w:t xml:space="preserve">, </w:t>
      </w:r>
      <w:r w:rsidR="004B12F6" w:rsidRPr="000B5123">
        <w:rPr>
          <w:rFonts w:ascii="Arial" w:eastAsia="Calibri" w:hAnsi="Arial" w:cs="Arial"/>
          <w:sz w:val="24"/>
          <w:szCs w:val="24"/>
        </w:rPr>
        <w:t>et désormais quasiment égal</w:t>
      </w:r>
      <w:r>
        <w:rPr>
          <w:rFonts w:ascii="Arial" w:eastAsia="Calibri" w:hAnsi="Arial" w:cs="Arial"/>
          <w:sz w:val="24"/>
          <w:szCs w:val="24"/>
        </w:rPr>
        <w:t>es</w:t>
      </w:r>
      <w:r w:rsidR="004B12F6" w:rsidRPr="000B5123">
        <w:rPr>
          <w:rFonts w:ascii="Arial" w:eastAsia="Calibri" w:hAnsi="Arial" w:cs="Arial"/>
          <w:sz w:val="24"/>
          <w:szCs w:val="24"/>
        </w:rPr>
        <w:t xml:space="preserve"> aux </w:t>
      </w:r>
      <w:r w:rsidR="006579D6" w:rsidRPr="000B5123">
        <w:rPr>
          <w:rFonts w:ascii="Arial" w:eastAsia="Calibri" w:hAnsi="Arial" w:cs="Arial"/>
          <w:sz w:val="24"/>
          <w:szCs w:val="24"/>
        </w:rPr>
        <w:t>13 292 K€ de 2019</w:t>
      </w:r>
      <w:r w:rsidR="00970874" w:rsidRPr="000B5123">
        <w:rPr>
          <w:rFonts w:ascii="Arial" w:eastAsia="Calibri" w:hAnsi="Arial" w:cs="Arial"/>
          <w:sz w:val="24"/>
          <w:szCs w:val="24"/>
        </w:rPr>
        <w:t xml:space="preserve">. </w:t>
      </w:r>
      <w:r w:rsidR="006579D6" w:rsidRPr="000B5123">
        <w:rPr>
          <w:rFonts w:ascii="Arial" w:eastAsia="Calibri" w:hAnsi="Arial" w:cs="Arial"/>
          <w:sz w:val="24"/>
          <w:szCs w:val="24"/>
        </w:rPr>
        <w:t xml:space="preserve"> </w:t>
      </w:r>
      <w:r w:rsidR="00970874" w:rsidRPr="000B5123">
        <w:rPr>
          <w:rFonts w:ascii="Arial" w:eastAsia="Calibri" w:hAnsi="Arial" w:cs="Arial"/>
          <w:sz w:val="24"/>
          <w:szCs w:val="24"/>
        </w:rPr>
        <w:t xml:space="preserve">Les </w:t>
      </w:r>
      <w:r w:rsidR="006579D6" w:rsidRPr="000B5123">
        <w:rPr>
          <w:rFonts w:ascii="Arial" w:eastAsia="Calibri" w:hAnsi="Arial" w:cs="Arial"/>
          <w:sz w:val="24"/>
          <w:szCs w:val="24"/>
        </w:rPr>
        <w:t xml:space="preserve">appels à la générosité </w:t>
      </w:r>
      <w:r w:rsidR="00970874" w:rsidRPr="000B5123">
        <w:rPr>
          <w:rFonts w:ascii="Arial" w:eastAsia="Calibri" w:hAnsi="Arial" w:cs="Arial"/>
          <w:sz w:val="24"/>
          <w:szCs w:val="24"/>
        </w:rPr>
        <w:t xml:space="preserve">concernent </w:t>
      </w:r>
      <w:r w:rsidR="001A791D">
        <w:rPr>
          <w:rFonts w:ascii="Arial" w:eastAsia="Calibri" w:hAnsi="Arial" w:cs="Arial"/>
          <w:sz w:val="24"/>
          <w:szCs w:val="24"/>
        </w:rPr>
        <w:br/>
      </w:r>
      <w:r w:rsidR="00333FA6" w:rsidRPr="000B5123">
        <w:rPr>
          <w:rFonts w:ascii="Arial" w:eastAsia="Calibri" w:hAnsi="Arial" w:cs="Arial"/>
          <w:sz w:val="24"/>
          <w:szCs w:val="24"/>
        </w:rPr>
        <w:t>3</w:t>
      </w:r>
      <w:r w:rsidR="004B12F6" w:rsidRPr="000B5123">
        <w:rPr>
          <w:rFonts w:ascii="Arial" w:eastAsia="Calibri" w:hAnsi="Arial" w:cs="Arial"/>
          <w:sz w:val="24"/>
          <w:szCs w:val="24"/>
        </w:rPr>
        <w:t xml:space="preserve"> 166 </w:t>
      </w:r>
      <w:r w:rsidR="006579D6" w:rsidRPr="000B5123">
        <w:rPr>
          <w:rFonts w:ascii="Arial" w:eastAsia="Calibri" w:hAnsi="Arial" w:cs="Arial"/>
          <w:sz w:val="24"/>
          <w:szCs w:val="24"/>
        </w:rPr>
        <w:t>bénévoles</w:t>
      </w:r>
      <w:r w:rsidR="00333FA6" w:rsidRPr="000B5123">
        <w:rPr>
          <w:rFonts w:ascii="Arial" w:eastAsia="Calibri" w:hAnsi="Arial" w:cs="Arial"/>
          <w:sz w:val="24"/>
          <w:szCs w:val="24"/>
        </w:rPr>
        <w:t xml:space="preserve">, leur nombre </w:t>
      </w:r>
      <w:r w:rsidR="004B12F6" w:rsidRPr="000B5123">
        <w:rPr>
          <w:rFonts w:ascii="Arial" w:eastAsia="Calibri" w:hAnsi="Arial" w:cs="Arial"/>
          <w:sz w:val="24"/>
          <w:szCs w:val="24"/>
        </w:rPr>
        <w:t xml:space="preserve">diminuant de 1,7 </w:t>
      </w:r>
      <w:r w:rsidR="00970874" w:rsidRPr="000B5123">
        <w:rPr>
          <w:rFonts w:ascii="Arial" w:eastAsia="Calibri" w:hAnsi="Arial" w:cs="Arial"/>
          <w:sz w:val="24"/>
          <w:szCs w:val="24"/>
        </w:rPr>
        <w:t>% en 202</w:t>
      </w:r>
      <w:r w:rsidR="004B12F6" w:rsidRPr="000B5123">
        <w:rPr>
          <w:rFonts w:ascii="Arial" w:eastAsia="Calibri" w:hAnsi="Arial" w:cs="Arial"/>
          <w:sz w:val="24"/>
          <w:szCs w:val="24"/>
        </w:rPr>
        <w:t>3</w:t>
      </w:r>
      <w:r w:rsidR="005537B5" w:rsidRPr="000B5123">
        <w:rPr>
          <w:rFonts w:ascii="Arial" w:eastAsia="Calibri" w:hAnsi="Arial" w:cs="Arial"/>
          <w:sz w:val="24"/>
          <w:szCs w:val="24"/>
        </w:rPr>
        <w:t xml:space="preserve"> </w:t>
      </w:r>
      <w:r w:rsidR="004B12F6" w:rsidRPr="000B5123">
        <w:rPr>
          <w:rFonts w:ascii="Arial" w:eastAsia="Calibri" w:hAnsi="Arial" w:cs="Arial"/>
          <w:sz w:val="24"/>
          <w:szCs w:val="24"/>
        </w:rPr>
        <w:t xml:space="preserve">tandis que </w:t>
      </w:r>
      <w:r w:rsidR="00970874" w:rsidRPr="000B5123">
        <w:rPr>
          <w:rFonts w:ascii="Arial" w:eastAsia="Calibri" w:hAnsi="Arial" w:cs="Arial"/>
          <w:sz w:val="24"/>
          <w:szCs w:val="24"/>
        </w:rPr>
        <w:t xml:space="preserve">leur </w:t>
      </w:r>
      <w:r w:rsidR="005537B5" w:rsidRPr="000B5123">
        <w:rPr>
          <w:rFonts w:ascii="Arial" w:eastAsia="Calibri" w:hAnsi="Arial" w:cs="Arial"/>
          <w:sz w:val="24"/>
          <w:szCs w:val="24"/>
        </w:rPr>
        <w:t xml:space="preserve">nombre </w:t>
      </w:r>
      <w:r w:rsidR="00333FA6" w:rsidRPr="000B5123">
        <w:rPr>
          <w:rFonts w:ascii="Arial" w:eastAsia="Calibri" w:hAnsi="Arial" w:cs="Arial"/>
          <w:sz w:val="24"/>
          <w:szCs w:val="24"/>
        </w:rPr>
        <w:t xml:space="preserve">d’heures </w:t>
      </w:r>
      <w:r w:rsidR="004B12F6" w:rsidRPr="000B5123">
        <w:rPr>
          <w:rFonts w:ascii="Arial" w:eastAsia="Calibri" w:hAnsi="Arial" w:cs="Arial"/>
          <w:sz w:val="24"/>
          <w:szCs w:val="24"/>
        </w:rPr>
        <w:t xml:space="preserve">progresse </w:t>
      </w:r>
      <w:r w:rsidR="005537B5" w:rsidRPr="000B5123">
        <w:rPr>
          <w:rFonts w:ascii="Arial" w:eastAsia="Calibri" w:hAnsi="Arial" w:cs="Arial"/>
          <w:sz w:val="24"/>
          <w:szCs w:val="24"/>
        </w:rPr>
        <w:t xml:space="preserve">de </w:t>
      </w:r>
      <w:r w:rsidR="004B12F6" w:rsidRPr="000B5123">
        <w:rPr>
          <w:rFonts w:ascii="Arial" w:eastAsia="Calibri" w:hAnsi="Arial" w:cs="Arial"/>
          <w:sz w:val="24"/>
          <w:szCs w:val="24"/>
        </w:rPr>
        <w:t>19,3</w:t>
      </w:r>
      <w:r w:rsidR="00970874" w:rsidRPr="000B5123">
        <w:rPr>
          <w:rFonts w:ascii="Arial" w:eastAsia="Calibri" w:hAnsi="Arial" w:cs="Arial"/>
          <w:sz w:val="24"/>
          <w:szCs w:val="24"/>
        </w:rPr>
        <w:t xml:space="preserve"> %, notamment </w:t>
      </w:r>
      <w:r w:rsidR="004B12F6" w:rsidRPr="000B5123">
        <w:rPr>
          <w:rFonts w:ascii="Arial" w:eastAsia="Calibri" w:hAnsi="Arial" w:cs="Arial"/>
          <w:sz w:val="24"/>
          <w:szCs w:val="24"/>
        </w:rPr>
        <w:t xml:space="preserve">au siège, la part utilisée par </w:t>
      </w:r>
      <w:r w:rsidR="00970874" w:rsidRPr="000B5123">
        <w:rPr>
          <w:rFonts w:ascii="Arial" w:eastAsia="Calibri" w:hAnsi="Arial" w:cs="Arial"/>
          <w:sz w:val="24"/>
          <w:szCs w:val="24"/>
        </w:rPr>
        <w:t>les comités</w:t>
      </w:r>
      <w:r w:rsidR="005537B5" w:rsidRPr="000B5123">
        <w:rPr>
          <w:rFonts w:ascii="Arial" w:eastAsia="Calibri" w:hAnsi="Arial" w:cs="Arial"/>
          <w:sz w:val="24"/>
          <w:szCs w:val="24"/>
        </w:rPr>
        <w:t xml:space="preserve"> </w:t>
      </w:r>
      <w:r w:rsidR="004B12F6" w:rsidRPr="000B5123">
        <w:rPr>
          <w:rFonts w:ascii="Arial" w:eastAsia="Calibri" w:hAnsi="Arial" w:cs="Arial"/>
          <w:sz w:val="24"/>
          <w:szCs w:val="24"/>
        </w:rPr>
        <w:t xml:space="preserve">restant prépondérante (75 % </w:t>
      </w:r>
      <w:r w:rsidR="00970874" w:rsidRPr="000B5123">
        <w:rPr>
          <w:rFonts w:ascii="Arial" w:eastAsia="Calibri" w:hAnsi="Arial" w:cs="Arial"/>
          <w:sz w:val="24"/>
          <w:szCs w:val="24"/>
        </w:rPr>
        <w:t>d</w:t>
      </w:r>
      <w:r w:rsidR="00BA46EA" w:rsidRPr="000B5123">
        <w:rPr>
          <w:rFonts w:ascii="Arial" w:eastAsia="Calibri" w:hAnsi="Arial" w:cs="Arial"/>
          <w:sz w:val="24"/>
          <w:szCs w:val="24"/>
        </w:rPr>
        <w:t>u temps total).</w:t>
      </w:r>
      <w:r w:rsidR="00333FA6" w:rsidRPr="000B5123">
        <w:rPr>
          <w:rFonts w:ascii="Arial" w:eastAsia="Calibri" w:hAnsi="Arial" w:cs="Arial"/>
          <w:sz w:val="24"/>
          <w:szCs w:val="24"/>
        </w:rPr>
        <w:t xml:space="preserve"> </w:t>
      </w:r>
    </w:p>
    <w:p w14:paraId="3CA47DFC" w14:textId="1D22B1F5" w:rsidR="009A1789" w:rsidRPr="000B5123" w:rsidRDefault="006579D6" w:rsidP="00F26BCA">
      <w:pPr>
        <w:spacing w:after="0"/>
        <w:ind w:left="851"/>
        <w:rPr>
          <w:rFonts w:ascii="Arial" w:eastAsia="Calibri" w:hAnsi="Arial" w:cs="Arial"/>
          <w:sz w:val="24"/>
          <w:szCs w:val="24"/>
        </w:rPr>
      </w:pPr>
      <w:r w:rsidRPr="000B5123">
        <w:rPr>
          <w:rFonts w:ascii="Arial" w:eastAsia="Calibri" w:hAnsi="Arial" w:cs="Arial"/>
          <w:sz w:val="24"/>
          <w:szCs w:val="24"/>
        </w:rPr>
        <w:t xml:space="preserve"> </w:t>
      </w:r>
    </w:p>
    <w:p w14:paraId="0D82069D" w14:textId="5191881B" w:rsidR="00894117" w:rsidRPr="000B5123" w:rsidRDefault="00894117" w:rsidP="008422CD">
      <w:pPr>
        <w:pStyle w:val="Titre2"/>
        <w:tabs>
          <w:tab w:val="left" w:pos="851"/>
        </w:tabs>
        <w:ind w:left="851"/>
        <w:rPr>
          <w:u w:val="single"/>
        </w:rPr>
      </w:pPr>
      <w:bookmarkStart w:id="8" w:name="_Toc168581071"/>
      <w:r w:rsidRPr="000B5123">
        <w:t xml:space="preserve">Ressources de l’année </w:t>
      </w:r>
      <w:r w:rsidR="00D660E3" w:rsidRPr="000B5123">
        <w:t>retracées dans le CROD et le CER</w:t>
      </w:r>
      <w:bookmarkEnd w:id="8"/>
      <w:r w:rsidR="00D660E3" w:rsidRPr="000B5123">
        <w:t xml:space="preserve"> </w:t>
      </w:r>
    </w:p>
    <w:p w14:paraId="5044753F" w14:textId="3C728DD4" w:rsidR="00894117" w:rsidRPr="000B5123" w:rsidRDefault="00894117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Le total des </w:t>
      </w:r>
      <w:r w:rsidR="00D660E3" w:rsidRPr="000B5123">
        <w:rPr>
          <w:rFonts w:ascii="Arial" w:hAnsi="Arial" w:cs="Arial"/>
          <w:sz w:val="24"/>
          <w:szCs w:val="24"/>
        </w:rPr>
        <w:t xml:space="preserve">produits comptables du CROD s’élève </w:t>
      </w:r>
      <w:r w:rsidRPr="000B5123">
        <w:rPr>
          <w:rFonts w:ascii="Arial" w:hAnsi="Arial" w:cs="Arial"/>
          <w:sz w:val="24"/>
          <w:szCs w:val="24"/>
        </w:rPr>
        <w:t xml:space="preserve">à </w:t>
      </w:r>
      <w:r w:rsidR="00B836F8" w:rsidRPr="000B5123">
        <w:rPr>
          <w:rFonts w:ascii="Arial" w:hAnsi="Arial" w:cs="Arial"/>
          <w:sz w:val="24"/>
          <w:szCs w:val="24"/>
        </w:rPr>
        <w:t>40 5</w:t>
      </w:r>
      <w:r w:rsidR="00AC6BC7" w:rsidRPr="000B5123">
        <w:rPr>
          <w:rFonts w:ascii="Arial" w:hAnsi="Arial" w:cs="Arial"/>
          <w:sz w:val="24"/>
          <w:szCs w:val="24"/>
        </w:rPr>
        <w:t>2</w:t>
      </w:r>
      <w:r w:rsidR="00B836F8" w:rsidRPr="000B5123">
        <w:rPr>
          <w:rFonts w:ascii="Arial" w:hAnsi="Arial" w:cs="Arial"/>
          <w:sz w:val="24"/>
          <w:szCs w:val="24"/>
        </w:rPr>
        <w:t xml:space="preserve">8 K€ contre </w:t>
      </w:r>
      <w:r w:rsidR="0077182F" w:rsidRPr="000B5123">
        <w:rPr>
          <w:rFonts w:ascii="Arial" w:hAnsi="Arial" w:cs="Arial"/>
          <w:sz w:val="24"/>
          <w:szCs w:val="24"/>
        </w:rPr>
        <w:t xml:space="preserve">39 712 K€ </w:t>
      </w:r>
      <w:r w:rsidR="00D660E3" w:rsidRPr="000B5123">
        <w:rPr>
          <w:rFonts w:ascii="Arial" w:hAnsi="Arial" w:cs="Arial"/>
          <w:sz w:val="24"/>
          <w:szCs w:val="24"/>
        </w:rPr>
        <w:t>en 20</w:t>
      </w:r>
      <w:r w:rsidR="005537B5" w:rsidRPr="000B5123">
        <w:rPr>
          <w:rFonts w:ascii="Arial" w:hAnsi="Arial" w:cs="Arial"/>
          <w:sz w:val="24"/>
          <w:szCs w:val="24"/>
        </w:rPr>
        <w:t>2</w:t>
      </w:r>
      <w:r w:rsidR="00B836F8" w:rsidRPr="000B5123">
        <w:rPr>
          <w:rFonts w:ascii="Arial" w:hAnsi="Arial" w:cs="Arial"/>
          <w:sz w:val="24"/>
          <w:szCs w:val="24"/>
        </w:rPr>
        <w:t>2</w:t>
      </w:r>
      <w:r w:rsidR="00D660E3" w:rsidRPr="000B5123">
        <w:rPr>
          <w:rFonts w:ascii="Arial" w:hAnsi="Arial" w:cs="Arial"/>
          <w:sz w:val="24"/>
          <w:szCs w:val="24"/>
        </w:rPr>
        <w:t xml:space="preserve">. Les produits provenant de la générosité du public représentent </w:t>
      </w:r>
      <w:r w:rsidR="00B836F8" w:rsidRPr="000B5123">
        <w:rPr>
          <w:rFonts w:ascii="Arial" w:hAnsi="Arial" w:cs="Arial"/>
          <w:sz w:val="24"/>
          <w:szCs w:val="24"/>
        </w:rPr>
        <w:t>9 540 K€ contre 8</w:t>
      </w:r>
      <w:r w:rsidR="0077182F" w:rsidRPr="000B5123">
        <w:rPr>
          <w:rFonts w:ascii="Arial" w:hAnsi="Arial" w:cs="Arial"/>
          <w:sz w:val="24"/>
          <w:szCs w:val="24"/>
        </w:rPr>
        <w:t xml:space="preserve"> 235 K€ </w:t>
      </w:r>
      <w:r w:rsidR="00D660E3" w:rsidRPr="000B5123">
        <w:rPr>
          <w:rFonts w:ascii="Arial" w:hAnsi="Arial" w:cs="Arial"/>
          <w:sz w:val="24"/>
          <w:szCs w:val="24"/>
        </w:rPr>
        <w:t>en 202</w:t>
      </w:r>
      <w:r w:rsidR="00B836F8" w:rsidRPr="000B5123">
        <w:rPr>
          <w:rFonts w:ascii="Arial" w:hAnsi="Arial" w:cs="Arial"/>
          <w:sz w:val="24"/>
          <w:szCs w:val="24"/>
        </w:rPr>
        <w:t>2</w:t>
      </w:r>
      <w:r w:rsidR="005537B5" w:rsidRPr="000B5123">
        <w:rPr>
          <w:rFonts w:ascii="Arial" w:hAnsi="Arial" w:cs="Arial"/>
          <w:sz w:val="24"/>
          <w:szCs w:val="24"/>
        </w:rPr>
        <w:t>.</w:t>
      </w:r>
      <w:r w:rsidRPr="000B5123">
        <w:rPr>
          <w:rFonts w:ascii="Arial" w:hAnsi="Arial" w:cs="Arial"/>
          <w:sz w:val="24"/>
          <w:szCs w:val="24"/>
        </w:rPr>
        <w:t xml:space="preserve">  </w:t>
      </w:r>
    </w:p>
    <w:p w14:paraId="6D52E546" w14:textId="77777777" w:rsidR="00894117" w:rsidRPr="000B5123" w:rsidRDefault="00894117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Les changements les plus notables par rapport à l’exercice précédent concernent :</w:t>
      </w:r>
    </w:p>
    <w:p w14:paraId="2032A425" w14:textId="7252A49D" w:rsidR="00894117" w:rsidRPr="000B5123" w:rsidRDefault="00894117" w:rsidP="00F26BCA">
      <w:pPr>
        <w:numPr>
          <w:ilvl w:val="0"/>
          <w:numId w:val="1"/>
        </w:numPr>
        <w:spacing w:after="0"/>
        <w:ind w:left="851" w:firstLine="0"/>
        <w:contextualSpacing/>
        <w:rPr>
          <w:rFonts w:ascii="Arial" w:hAnsi="Arial" w:cs="Arial"/>
          <w:sz w:val="24"/>
          <w:szCs w:val="24"/>
        </w:rPr>
      </w:pPr>
      <w:proofErr w:type="gramStart"/>
      <w:r w:rsidRPr="000B5123">
        <w:rPr>
          <w:rFonts w:ascii="Arial" w:hAnsi="Arial" w:cs="Arial"/>
          <w:sz w:val="24"/>
          <w:szCs w:val="24"/>
        </w:rPr>
        <w:t>les</w:t>
      </w:r>
      <w:proofErr w:type="gramEnd"/>
      <w:r w:rsidRPr="000B5123">
        <w:rPr>
          <w:rFonts w:ascii="Arial" w:hAnsi="Arial" w:cs="Arial"/>
          <w:sz w:val="24"/>
          <w:szCs w:val="24"/>
        </w:rPr>
        <w:t xml:space="preserve"> legs</w:t>
      </w:r>
      <w:r w:rsidR="00D660E3" w:rsidRPr="000B5123">
        <w:rPr>
          <w:rFonts w:ascii="Arial" w:hAnsi="Arial" w:cs="Arial"/>
          <w:sz w:val="24"/>
          <w:szCs w:val="24"/>
        </w:rPr>
        <w:t xml:space="preserve"> : </w:t>
      </w:r>
      <w:r w:rsidR="00B836F8" w:rsidRPr="000B5123">
        <w:rPr>
          <w:rFonts w:ascii="Arial" w:hAnsi="Arial" w:cs="Arial"/>
          <w:sz w:val="24"/>
          <w:szCs w:val="24"/>
        </w:rPr>
        <w:t xml:space="preserve">6 012 K€ contre </w:t>
      </w:r>
      <w:r w:rsidR="0077182F" w:rsidRPr="000B5123">
        <w:rPr>
          <w:rFonts w:ascii="Arial" w:hAnsi="Arial" w:cs="Arial"/>
          <w:sz w:val="24"/>
          <w:szCs w:val="24"/>
        </w:rPr>
        <w:t xml:space="preserve">4 776 K€ </w:t>
      </w:r>
      <w:r w:rsidRPr="000B5123">
        <w:rPr>
          <w:rFonts w:ascii="Arial" w:hAnsi="Arial" w:cs="Arial"/>
          <w:sz w:val="24"/>
          <w:szCs w:val="24"/>
        </w:rPr>
        <w:t>en 20</w:t>
      </w:r>
      <w:r w:rsidR="005537B5" w:rsidRPr="000B5123">
        <w:rPr>
          <w:rFonts w:ascii="Arial" w:hAnsi="Arial" w:cs="Arial"/>
          <w:sz w:val="24"/>
          <w:szCs w:val="24"/>
        </w:rPr>
        <w:t>2</w:t>
      </w:r>
      <w:r w:rsidR="00B836F8" w:rsidRPr="000B5123">
        <w:rPr>
          <w:rFonts w:ascii="Arial" w:hAnsi="Arial" w:cs="Arial"/>
          <w:sz w:val="24"/>
          <w:szCs w:val="24"/>
        </w:rPr>
        <w:t>2</w:t>
      </w:r>
      <w:r w:rsidR="00E82539" w:rsidRPr="000B5123">
        <w:rPr>
          <w:rFonts w:ascii="Arial" w:hAnsi="Arial" w:cs="Arial"/>
          <w:sz w:val="24"/>
          <w:szCs w:val="24"/>
        </w:rPr>
        <w:t xml:space="preserve">, soit une </w:t>
      </w:r>
      <w:r w:rsidR="00B836F8" w:rsidRPr="000B5123">
        <w:rPr>
          <w:rFonts w:ascii="Arial" w:hAnsi="Arial" w:cs="Arial"/>
          <w:sz w:val="24"/>
          <w:szCs w:val="24"/>
        </w:rPr>
        <w:t xml:space="preserve">hausse </w:t>
      </w:r>
      <w:r w:rsidR="00E82539" w:rsidRPr="000B5123">
        <w:rPr>
          <w:rFonts w:ascii="Arial" w:hAnsi="Arial" w:cs="Arial"/>
          <w:sz w:val="24"/>
          <w:szCs w:val="24"/>
        </w:rPr>
        <w:t xml:space="preserve">de </w:t>
      </w:r>
      <w:r w:rsidR="00B836F8" w:rsidRPr="000B5123">
        <w:rPr>
          <w:rFonts w:ascii="Arial" w:hAnsi="Arial" w:cs="Arial"/>
          <w:sz w:val="24"/>
          <w:szCs w:val="24"/>
        </w:rPr>
        <w:t>1 236</w:t>
      </w:r>
      <w:r w:rsidR="00E82539" w:rsidRPr="000B5123">
        <w:rPr>
          <w:rFonts w:ascii="Arial" w:hAnsi="Arial" w:cs="Arial"/>
          <w:sz w:val="24"/>
          <w:szCs w:val="24"/>
        </w:rPr>
        <w:t xml:space="preserve"> K€</w:t>
      </w:r>
      <w:r w:rsidRPr="000B5123">
        <w:rPr>
          <w:rFonts w:ascii="Arial" w:hAnsi="Arial" w:cs="Arial"/>
          <w:sz w:val="24"/>
          <w:szCs w:val="24"/>
        </w:rPr>
        <w:t> ;</w:t>
      </w:r>
    </w:p>
    <w:p w14:paraId="0367CDDC" w14:textId="4FC0F0A4" w:rsidR="005F35E6" w:rsidRPr="000B5123" w:rsidRDefault="005F35E6" w:rsidP="00F26BCA">
      <w:pPr>
        <w:numPr>
          <w:ilvl w:val="0"/>
          <w:numId w:val="1"/>
        </w:numPr>
        <w:spacing w:after="0"/>
        <w:ind w:left="851" w:firstLine="0"/>
        <w:contextualSpacing/>
        <w:rPr>
          <w:rFonts w:ascii="Arial" w:hAnsi="Arial" w:cs="Arial"/>
          <w:sz w:val="24"/>
          <w:szCs w:val="24"/>
        </w:rPr>
      </w:pPr>
      <w:proofErr w:type="gramStart"/>
      <w:r w:rsidRPr="000B5123">
        <w:rPr>
          <w:rFonts w:ascii="Arial" w:hAnsi="Arial" w:cs="Arial"/>
          <w:sz w:val="24"/>
          <w:szCs w:val="24"/>
        </w:rPr>
        <w:t>les</w:t>
      </w:r>
      <w:proofErr w:type="gramEnd"/>
      <w:r w:rsidRPr="000B5123">
        <w:rPr>
          <w:rFonts w:ascii="Arial" w:hAnsi="Arial" w:cs="Arial"/>
          <w:sz w:val="24"/>
          <w:szCs w:val="24"/>
        </w:rPr>
        <w:t xml:space="preserve"> dons : </w:t>
      </w:r>
      <w:r w:rsidR="00B836F8" w:rsidRPr="000B5123">
        <w:rPr>
          <w:rFonts w:ascii="Arial" w:hAnsi="Arial" w:cs="Arial"/>
          <w:sz w:val="24"/>
          <w:szCs w:val="24"/>
        </w:rPr>
        <w:t xml:space="preserve">3 427 K€ contre </w:t>
      </w:r>
      <w:r w:rsidR="0077182F" w:rsidRPr="000B5123">
        <w:rPr>
          <w:rFonts w:ascii="Arial" w:hAnsi="Arial" w:cs="Arial"/>
          <w:sz w:val="24"/>
          <w:szCs w:val="24"/>
        </w:rPr>
        <w:t xml:space="preserve">3 306 K€ </w:t>
      </w:r>
      <w:r w:rsidR="005537B5" w:rsidRPr="000B5123">
        <w:rPr>
          <w:rFonts w:ascii="Arial" w:hAnsi="Arial" w:cs="Arial"/>
          <w:sz w:val="24"/>
          <w:szCs w:val="24"/>
        </w:rPr>
        <w:t>e</w:t>
      </w:r>
      <w:r w:rsidRPr="000B5123">
        <w:rPr>
          <w:rFonts w:ascii="Arial" w:hAnsi="Arial" w:cs="Arial"/>
          <w:sz w:val="24"/>
          <w:szCs w:val="24"/>
        </w:rPr>
        <w:t>n 20</w:t>
      </w:r>
      <w:r w:rsidR="005537B5" w:rsidRPr="000B5123">
        <w:rPr>
          <w:rFonts w:ascii="Arial" w:hAnsi="Arial" w:cs="Arial"/>
          <w:sz w:val="24"/>
          <w:szCs w:val="24"/>
        </w:rPr>
        <w:t>2</w:t>
      </w:r>
      <w:r w:rsidR="00B836F8" w:rsidRPr="000B5123">
        <w:rPr>
          <w:rFonts w:ascii="Arial" w:hAnsi="Arial" w:cs="Arial"/>
          <w:sz w:val="24"/>
          <w:szCs w:val="24"/>
        </w:rPr>
        <w:t>2</w:t>
      </w:r>
      <w:r w:rsidRPr="000B5123">
        <w:rPr>
          <w:rFonts w:ascii="Arial" w:hAnsi="Arial" w:cs="Arial"/>
          <w:sz w:val="24"/>
          <w:szCs w:val="24"/>
        </w:rPr>
        <w:t> ;</w:t>
      </w:r>
    </w:p>
    <w:p w14:paraId="14FF81FB" w14:textId="617A2FA7" w:rsidR="0059443C" w:rsidRPr="000B5123" w:rsidRDefault="00D660E3" w:rsidP="00F26BCA">
      <w:pPr>
        <w:numPr>
          <w:ilvl w:val="0"/>
          <w:numId w:val="1"/>
        </w:numPr>
        <w:spacing w:after="0"/>
        <w:ind w:left="851" w:firstLine="0"/>
        <w:contextualSpacing/>
        <w:rPr>
          <w:rFonts w:ascii="Arial" w:hAnsi="Arial" w:cs="Arial"/>
          <w:sz w:val="24"/>
          <w:szCs w:val="24"/>
        </w:rPr>
      </w:pPr>
      <w:proofErr w:type="gramStart"/>
      <w:r w:rsidRPr="000B5123">
        <w:rPr>
          <w:rFonts w:ascii="Arial" w:hAnsi="Arial" w:cs="Arial"/>
          <w:sz w:val="24"/>
          <w:szCs w:val="24"/>
        </w:rPr>
        <w:t>les</w:t>
      </w:r>
      <w:proofErr w:type="gramEnd"/>
      <w:r w:rsidRPr="000B5123">
        <w:rPr>
          <w:rFonts w:ascii="Arial" w:hAnsi="Arial" w:cs="Arial"/>
          <w:sz w:val="24"/>
          <w:szCs w:val="24"/>
        </w:rPr>
        <w:t xml:space="preserve"> produits non liés à la générosité du public : </w:t>
      </w:r>
      <w:r w:rsidR="00B836F8" w:rsidRPr="000B5123">
        <w:rPr>
          <w:rFonts w:ascii="Arial" w:hAnsi="Arial" w:cs="Arial"/>
          <w:sz w:val="24"/>
          <w:szCs w:val="24"/>
        </w:rPr>
        <w:t xml:space="preserve">13 109 K€ contre </w:t>
      </w:r>
      <w:r w:rsidR="007F3C96" w:rsidRPr="000B5123">
        <w:rPr>
          <w:rFonts w:ascii="Arial" w:hAnsi="Arial" w:cs="Arial"/>
          <w:sz w:val="24"/>
          <w:szCs w:val="24"/>
        </w:rPr>
        <w:t xml:space="preserve">13 865 K€ </w:t>
      </w:r>
      <w:r w:rsidR="0059443C" w:rsidRPr="000B5123">
        <w:rPr>
          <w:rFonts w:ascii="Arial" w:hAnsi="Arial" w:cs="Arial"/>
          <w:sz w:val="24"/>
          <w:szCs w:val="24"/>
        </w:rPr>
        <w:t>en 20</w:t>
      </w:r>
      <w:r w:rsidR="005537B5" w:rsidRPr="000B5123">
        <w:rPr>
          <w:rFonts w:ascii="Arial" w:hAnsi="Arial" w:cs="Arial"/>
          <w:sz w:val="24"/>
          <w:szCs w:val="24"/>
        </w:rPr>
        <w:t>2</w:t>
      </w:r>
      <w:r w:rsidR="00B836F8" w:rsidRPr="000B5123">
        <w:rPr>
          <w:rFonts w:ascii="Arial" w:hAnsi="Arial" w:cs="Arial"/>
          <w:sz w:val="24"/>
          <w:szCs w:val="24"/>
        </w:rPr>
        <w:t>2</w:t>
      </w:r>
      <w:r w:rsidR="0059443C" w:rsidRPr="000B5123">
        <w:rPr>
          <w:rFonts w:ascii="Arial" w:hAnsi="Arial" w:cs="Arial"/>
          <w:sz w:val="24"/>
          <w:szCs w:val="24"/>
        </w:rPr>
        <w:t xml:space="preserve"> ; </w:t>
      </w:r>
      <w:r w:rsidRPr="000B5123">
        <w:rPr>
          <w:rFonts w:ascii="Arial" w:hAnsi="Arial" w:cs="Arial"/>
          <w:sz w:val="24"/>
          <w:szCs w:val="24"/>
        </w:rPr>
        <w:t xml:space="preserve"> </w:t>
      </w:r>
      <w:r w:rsidR="00802A95" w:rsidRPr="000B5123">
        <w:rPr>
          <w:rFonts w:ascii="Arial" w:hAnsi="Arial" w:cs="Arial"/>
          <w:sz w:val="24"/>
          <w:szCs w:val="24"/>
        </w:rPr>
        <w:t xml:space="preserve">des produits de la gestion patrimoniale en forte </w:t>
      </w:r>
      <w:r w:rsidR="00BB3C44" w:rsidRPr="000B5123">
        <w:rPr>
          <w:rFonts w:ascii="Arial" w:hAnsi="Arial" w:cs="Arial"/>
          <w:sz w:val="24"/>
          <w:szCs w:val="24"/>
        </w:rPr>
        <w:t>baisse</w:t>
      </w:r>
      <w:r w:rsidR="00802A95" w:rsidRPr="000B5123">
        <w:rPr>
          <w:rFonts w:ascii="Arial" w:hAnsi="Arial" w:cs="Arial"/>
          <w:sz w:val="24"/>
          <w:szCs w:val="24"/>
        </w:rPr>
        <w:t xml:space="preserve">, </w:t>
      </w:r>
      <w:r w:rsidR="00BB3C44" w:rsidRPr="000B5123">
        <w:rPr>
          <w:rFonts w:ascii="Arial" w:hAnsi="Arial" w:cs="Arial"/>
          <w:sz w:val="24"/>
          <w:szCs w:val="24"/>
        </w:rPr>
        <w:t xml:space="preserve">les ventes d’immeubles ayant été importantes en 2022, </w:t>
      </w:r>
      <w:r w:rsidR="00802A95" w:rsidRPr="000B5123">
        <w:rPr>
          <w:rFonts w:ascii="Arial" w:hAnsi="Arial" w:cs="Arial"/>
          <w:sz w:val="24"/>
          <w:szCs w:val="24"/>
        </w:rPr>
        <w:t xml:space="preserve">des contributions financières en </w:t>
      </w:r>
      <w:r w:rsidR="00BB3C44" w:rsidRPr="000B5123">
        <w:rPr>
          <w:rFonts w:ascii="Arial" w:hAnsi="Arial" w:cs="Arial"/>
          <w:sz w:val="24"/>
          <w:szCs w:val="24"/>
        </w:rPr>
        <w:t>diminution</w:t>
      </w:r>
      <w:r w:rsidR="00802A95" w:rsidRPr="000B5123">
        <w:rPr>
          <w:rFonts w:ascii="Arial" w:hAnsi="Arial" w:cs="Arial"/>
          <w:sz w:val="24"/>
          <w:szCs w:val="24"/>
        </w:rPr>
        <w:t xml:space="preserve"> dont la contribution de la Fondation Valentin Haüy en </w:t>
      </w:r>
      <w:r w:rsidR="00BB3C44" w:rsidRPr="000B5123">
        <w:rPr>
          <w:rFonts w:ascii="Arial" w:hAnsi="Arial" w:cs="Arial"/>
          <w:sz w:val="24"/>
          <w:szCs w:val="24"/>
        </w:rPr>
        <w:t>baisse de</w:t>
      </w:r>
      <w:r w:rsidR="00802A95" w:rsidRPr="000B5123">
        <w:rPr>
          <w:rFonts w:ascii="Arial" w:hAnsi="Arial" w:cs="Arial"/>
          <w:sz w:val="24"/>
          <w:szCs w:val="24"/>
        </w:rPr>
        <w:t xml:space="preserve"> </w:t>
      </w:r>
      <w:r w:rsidR="00BB3C44" w:rsidRPr="000B5123">
        <w:rPr>
          <w:rFonts w:ascii="Arial" w:hAnsi="Arial" w:cs="Arial"/>
          <w:sz w:val="24"/>
          <w:szCs w:val="24"/>
        </w:rPr>
        <w:t>3 500</w:t>
      </w:r>
      <w:r w:rsidR="00802A95" w:rsidRPr="000B5123">
        <w:rPr>
          <w:rFonts w:ascii="Arial" w:hAnsi="Arial" w:cs="Arial"/>
          <w:sz w:val="24"/>
          <w:szCs w:val="24"/>
        </w:rPr>
        <w:t xml:space="preserve"> K€ à </w:t>
      </w:r>
      <w:r w:rsidR="00BB3C44" w:rsidRPr="000B5123">
        <w:rPr>
          <w:rFonts w:ascii="Arial" w:hAnsi="Arial" w:cs="Arial"/>
          <w:sz w:val="24"/>
          <w:szCs w:val="24"/>
        </w:rPr>
        <w:t>3 000</w:t>
      </w:r>
      <w:r w:rsidR="00802A95" w:rsidRPr="000B5123">
        <w:rPr>
          <w:rFonts w:ascii="Arial" w:hAnsi="Arial" w:cs="Arial"/>
          <w:sz w:val="24"/>
          <w:szCs w:val="24"/>
        </w:rPr>
        <w:t xml:space="preserve"> K€, une </w:t>
      </w:r>
      <w:r w:rsidR="00AC6BC7" w:rsidRPr="000B5123">
        <w:rPr>
          <w:rFonts w:ascii="Arial" w:hAnsi="Arial" w:cs="Arial"/>
          <w:sz w:val="24"/>
          <w:szCs w:val="24"/>
        </w:rPr>
        <w:t xml:space="preserve">augmentation </w:t>
      </w:r>
      <w:r w:rsidR="00802A95" w:rsidRPr="000B5123">
        <w:rPr>
          <w:rFonts w:ascii="Arial" w:hAnsi="Arial" w:cs="Arial"/>
          <w:sz w:val="24"/>
          <w:szCs w:val="24"/>
        </w:rPr>
        <w:t xml:space="preserve">des ventes, des </w:t>
      </w:r>
      <w:r w:rsidR="0059443C" w:rsidRPr="000B5123">
        <w:rPr>
          <w:rFonts w:ascii="Arial" w:hAnsi="Arial" w:cs="Arial"/>
          <w:sz w:val="24"/>
          <w:szCs w:val="24"/>
        </w:rPr>
        <w:t>participations aux activités</w:t>
      </w:r>
      <w:r w:rsidR="00802A95" w:rsidRPr="000B5123">
        <w:rPr>
          <w:rFonts w:ascii="Arial" w:hAnsi="Arial" w:cs="Arial"/>
          <w:sz w:val="24"/>
          <w:szCs w:val="24"/>
        </w:rPr>
        <w:t xml:space="preserve"> </w:t>
      </w:r>
      <w:r w:rsidR="0080395B" w:rsidRPr="000B5123">
        <w:rPr>
          <w:rFonts w:ascii="Arial" w:hAnsi="Arial" w:cs="Arial"/>
          <w:sz w:val="24"/>
          <w:szCs w:val="24"/>
        </w:rPr>
        <w:t xml:space="preserve">en </w:t>
      </w:r>
      <w:r w:rsidR="00BB3C44" w:rsidRPr="000B5123">
        <w:rPr>
          <w:rFonts w:ascii="Arial" w:hAnsi="Arial" w:cs="Arial"/>
          <w:sz w:val="24"/>
          <w:szCs w:val="24"/>
        </w:rPr>
        <w:t>hausse</w:t>
      </w:r>
      <w:r w:rsidR="00802A95" w:rsidRPr="000B5123">
        <w:rPr>
          <w:rFonts w:ascii="Arial" w:hAnsi="Arial" w:cs="Arial"/>
          <w:sz w:val="24"/>
          <w:szCs w:val="24"/>
        </w:rPr>
        <w:t> ;</w:t>
      </w:r>
      <w:r w:rsidR="0059443C" w:rsidRPr="000B5123">
        <w:rPr>
          <w:rFonts w:ascii="Arial" w:hAnsi="Arial" w:cs="Arial"/>
          <w:sz w:val="24"/>
          <w:szCs w:val="24"/>
        </w:rPr>
        <w:t xml:space="preserve"> </w:t>
      </w:r>
    </w:p>
    <w:p w14:paraId="068E9781" w14:textId="54178748" w:rsidR="00894117" w:rsidRPr="000B5123" w:rsidRDefault="00894117" w:rsidP="00F26BCA">
      <w:pPr>
        <w:numPr>
          <w:ilvl w:val="0"/>
          <w:numId w:val="1"/>
        </w:numPr>
        <w:spacing w:after="0"/>
        <w:ind w:left="851" w:firstLine="0"/>
        <w:contextualSpacing/>
        <w:rPr>
          <w:rFonts w:ascii="Arial" w:hAnsi="Arial" w:cs="Arial"/>
          <w:sz w:val="24"/>
          <w:szCs w:val="24"/>
        </w:rPr>
      </w:pPr>
      <w:proofErr w:type="gramStart"/>
      <w:r w:rsidRPr="000B5123">
        <w:rPr>
          <w:rFonts w:ascii="Arial" w:hAnsi="Arial" w:cs="Arial"/>
          <w:sz w:val="24"/>
          <w:szCs w:val="24"/>
        </w:rPr>
        <w:t>les</w:t>
      </w:r>
      <w:proofErr w:type="gramEnd"/>
      <w:r w:rsidRPr="000B5123">
        <w:rPr>
          <w:rFonts w:ascii="Arial" w:hAnsi="Arial" w:cs="Arial"/>
          <w:sz w:val="24"/>
          <w:szCs w:val="24"/>
        </w:rPr>
        <w:t xml:space="preserve"> subventions et </w:t>
      </w:r>
      <w:r w:rsidR="005F35E6" w:rsidRPr="000B5123">
        <w:rPr>
          <w:rFonts w:ascii="Arial" w:hAnsi="Arial" w:cs="Arial"/>
          <w:sz w:val="24"/>
          <w:szCs w:val="24"/>
        </w:rPr>
        <w:t xml:space="preserve">autres </w:t>
      </w:r>
      <w:r w:rsidRPr="000B5123">
        <w:rPr>
          <w:rFonts w:ascii="Arial" w:hAnsi="Arial" w:cs="Arial"/>
          <w:sz w:val="24"/>
          <w:szCs w:val="24"/>
        </w:rPr>
        <w:t>concours publics</w:t>
      </w:r>
      <w:r w:rsidR="005F35E6" w:rsidRPr="000B5123">
        <w:rPr>
          <w:rFonts w:ascii="Arial" w:hAnsi="Arial" w:cs="Arial"/>
          <w:sz w:val="24"/>
          <w:szCs w:val="24"/>
        </w:rPr>
        <w:t xml:space="preserve"> : </w:t>
      </w:r>
      <w:r w:rsidR="00B836F8" w:rsidRPr="000B5123">
        <w:rPr>
          <w:rFonts w:ascii="Arial" w:hAnsi="Arial" w:cs="Arial"/>
          <w:sz w:val="24"/>
          <w:szCs w:val="24"/>
        </w:rPr>
        <w:t>17 2</w:t>
      </w:r>
      <w:r w:rsidR="00AC6BC7" w:rsidRPr="000B5123">
        <w:rPr>
          <w:rFonts w:ascii="Arial" w:hAnsi="Arial" w:cs="Arial"/>
          <w:sz w:val="24"/>
          <w:szCs w:val="24"/>
        </w:rPr>
        <w:t>8</w:t>
      </w:r>
      <w:r w:rsidR="00B836F8" w:rsidRPr="000B5123">
        <w:rPr>
          <w:rFonts w:ascii="Arial" w:hAnsi="Arial" w:cs="Arial"/>
          <w:sz w:val="24"/>
          <w:szCs w:val="24"/>
        </w:rPr>
        <w:t xml:space="preserve">7 K€ contre </w:t>
      </w:r>
      <w:r w:rsidR="001A36F5" w:rsidRPr="000B5123">
        <w:rPr>
          <w:rFonts w:ascii="Arial" w:hAnsi="Arial" w:cs="Arial"/>
          <w:sz w:val="24"/>
          <w:szCs w:val="24"/>
        </w:rPr>
        <w:t>16 721 K€</w:t>
      </w:r>
      <w:r w:rsidR="0080395B" w:rsidRPr="000B5123">
        <w:rPr>
          <w:rFonts w:ascii="Arial" w:hAnsi="Arial" w:cs="Arial"/>
          <w:sz w:val="24"/>
          <w:szCs w:val="24"/>
        </w:rPr>
        <w:t xml:space="preserve"> </w:t>
      </w:r>
      <w:r w:rsidR="002F0464" w:rsidRPr="000B5123">
        <w:rPr>
          <w:rFonts w:ascii="Arial" w:hAnsi="Arial" w:cs="Arial"/>
          <w:sz w:val="24"/>
          <w:szCs w:val="24"/>
        </w:rPr>
        <w:t>en 20</w:t>
      </w:r>
      <w:r w:rsidR="0080395B" w:rsidRPr="000B5123">
        <w:rPr>
          <w:rFonts w:ascii="Arial" w:hAnsi="Arial" w:cs="Arial"/>
          <w:sz w:val="24"/>
          <w:szCs w:val="24"/>
        </w:rPr>
        <w:t>2</w:t>
      </w:r>
      <w:r w:rsidR="00B836F8" w:rsidRPr="000B5123">
        <w:rPr>
          <w:rFonts w:ascii="Arial" w:hAnsi="Arial" w:cs="Arial"/>
          <w:sz w:val="24"/>
          <w:szCs w:val="24"/>
        </w:rPr>
        <w:t>2</w:t>
      </w:r>
      <w:r w:rsidR="005F35E6" w:rsidRPr="000B5123">
        <w:rPr>
          <w:rFonts w:ascii="Arial" w:hAnsi="Arial" w:cs="Arial"/>
          <w:sz w:val="24"/>
          <w:szCs w:val="24"/>
        </w:rPr>
        <w:t> ; hausse des</w:t>
      </w:r>
      <w:r w:rsidR="002F0464" w:rsidRPr="000B5123">
        <w:rPr>
          <w:rFonts w:ascii="Arial" w:hAnsi="Arial" w:cs="Arial"/>
          <w:sz w:val="24"/>
          <w:szCs w:val="24"/>
        </w:rPr>
        <w:t xml:space="preserve"> </w:t>
      </w:r>
      <w:r w:rsidR="006C4E6E" w:rsidRPr="000B5123">
        <w:rPr>
          <w:rFonts w:ascii="Arial" w:hAnsi="Arial" w:cs="Arial"/>
          <w:sz w:val="24"/>
          <w:szCs w:val="24"/>
        </w:rPr>
        <w:t xml:space="preserve">recettes des établissements obtenues </w:t>
      </w:r>
      <w:r w:rsidR="005F35E6" w:rsidRPr="000B5123">
        <w:rPr>
          <w:rFonts w:ascii="Arial" w:hAnsi="Arial" w:cs="Arial"/>
          <w:sz w:val="24"/>
          <w:szCs w:val="24"/>
        </w:rPr>
        <w:t xml:space="preserve">par les </w:t>
      </w:r>
      <w:r w:rsidR="006C4E6E" w:rsidRPr="000B5123">
        <w:rPr>
          <w:rFonts w:ascii="Arial" w:hAnsi="Arial" w:cs="Arial"/>
          <w:sz w:val="24"/>
          <w:szCs w:val="24"/>
        </w:rPr>
        <w:t xml:space="preserve">prix de journée fixés par les autorités </w:t>
      </w:r>
      <w:r w:rsidR="009D0DBA" w:rsidRPr="000B5123">
        <w:rPr>
          <w:rFonts w:ascii="Arial" w:hAnsi="Arial" w:cs="Arial"/>
          <w:sz w:val="24"/>
          <w:szCs w:val="24"/>
        </w:rPr>
        <w:t>de tarification</w:t>
      </w:r>
      <w:r w:rsidR="0080395B" w:rsidRPr="000B5123">
        <w:rPr>
          <w:rFonts w:ascii="Arial" w:hAnsi="Arial" w:cs="Arial"/>
          <w:sz w:val="24"/>
          <w:szCs w:val="24"/>
        </w:rPr>
        <w:t xml:space="preserve">, </w:t>
      </w:r>
      <w:r w:rsidR="005F35E6" w:rsidRPr="000B5123">
        <w:rPr>
          <w:rFonts w:ascii="Arial" w:hAnsi="Arial" w:cs="Arial"/>
          <w:sz w:val="24"/>
          <w:szCs w:val="24"/>
        </w:rPr>
        <w:t xml:space="preserve"> </w:t>
      </w:r>
      <w:r w:rsidR="00802A95" w:rsidRPr="000B5123">
        <w:rPr>
          <w:rFonts w:ascii="Arial" w:hAnsi="Arial" w:cs="Arial"/>
          <w:sz w:val="24"/>
          <w:szCs w:val="24"/>
        </w:rPr>
        <w:t xml:space="preserve">hausse </w:t>
      </w:r>
      <w:r w:rsidR="0080395B" w:rsidRPr="000B5123">
        <w:rPr>
          <w:rFonts w:ascii="Arial" w:hAnsi="Arial" w:cs="Arial"/>
          <w:sz w:val="24"/>
          <w:szCs w:val="24"/>
        </w:rPr>
        <w:t xml:space="preserve">de </w:t>
      </w:r>
      <w:r w:rsidR="005F35E6" w:rsidRPr="000B5123">
        <w:rPr>
          <w:rFonts w:ascii="Arial" w:hAnsi="Arial" w:cs="Arial"/>
          <w:sz w:val="24"/>
          <w:szCs w:val="24"/>
        </w:rPr>
        <w:t xml:space="preserve"> </w:t>
      </w:r>
      <w:r w:rsidR="006C4E6E" w:rsidRPr="000B5123">
        <w:rPr>
          <w:rFonts w:ascii="Arial" w:hAnsi="Arial" w:cs="Arial"/>
          <w:sz w:val="24"/>
          <w:szCs w:val="24"/>
        </w:rPr>
        <w:t>l’aide aux postes</w:t>
      </w:r>
      <w:r w:rsidR="0014202F" w:rsidRPr="000B5123">
        <w:rPr>
          <w:rFonts w:ascii="Arial" w:hAnsi="Arial" w:cs="Arial"/>
          <w:sz w:val="24"/>
          <w:szCs w:val="24"/>
        </w:rPr>
        <w:t xml:space="preserve"> pour l’emploi de personnel présentant un handicap</w:t>
      </w:r>
      <w:r w:rsidR="006C4E6E" w:rsidRPr="000B5123">
        <w:rPr>
          <w:rFonts w:ascii="Arial" w:hAnsi="Arial" w:cs="Arial"/>
          <w:sz w:val="24"/>
          <w:szCs w:val="24"/>
        </w:rPr>
        <w:t xml:space="preserve"> perçue par les ESAT et </w:t>
      </w:r>
      <w:r w:rsidR="0080395B" w:rsidRPr="000B5123">
        <w:rPr>
          <w:rFonts w:ascii="Arial" w:hAnsi="Arial" w:cs="Arial"/>
          <w:sz w:val="24"/>
          <w:szCs w:val="24"/>
        </w:rPr>
        <w:t>l’</w:t>
      </w:r>
      <w:r w:rsidR="006C4E6E" w:rsidRPr="000B5123">
        <w:rPr>
          <w:rFonts w:ascii="Arial" w:hAnsi="Arial" w:cs="Arial"/>
          <w:sz w:val="24"/>
          <w:szCs w:val="24"/>
        </w:rPr>
        <w:t xml:space="preserve">entreprise adaptée, </w:t>
      </w:r>
      <w:r w:rsidR="00B836F8" w:rsidRPr="000B5123">
        <w:rPr>
          <w:rFonts w:ascii="Arial" w:hAnsi="Arial" w:cs="Arial"/>
          <w:sz w:val="24"/>
          <w:szCs w:val="24"/>
        </w:rPr>
        <w:t xml:space="preserve">diminution </w:t>
      </w:r>
      <w:r w:rsidR="005F35E6" w:rsidRPr="000B5123">
        <w:rPr>
          <w:rFonts w:ascii="Arial" w:hAnsi="Arial" w:cs="Arial"/>
          <w:sz w:val="24"/>
          <w:szCs w:val="24"/>
        </w:rPr>
        <w:t>d</w:t>
      </w:r>
      <w:r w:rsidR="006C4E6E" w:rsidRPr="000B5123">
        <w:rPr>
          <w:rFonts w:ascii="Arial" w:hAnsi="Arial" w:cs="Arial"/>
          <w:sz w:val="24"/>
          <w:szCs w:val="24"/>
        </w:rPr>
        <w:t xml:space="preserve">es subventions </w:t>
      </w:r>
      <w:r w:rsidR="0014202F" w:rsidRPr="000B5123">
        <w:rPr>
          <w:rFonts w:ascii="Arial" w:hAnsi="Arial" w:cs="Arial"/>
          <w:sz w:val="24"/>
          <w:szCs w:val="24"/>
        </w:rPr>
        <w:t xml:space="preserve">de certaines </w:t>
      </w:r>
      <w:r w:rsidR="006C4E6E" w:rsidRPr="000B5123">
        <w:rPr>
          <w:rFonts w:ascii="Arial" w:hAnsi="Arial" w:cs="Arial"/>
          <w:sz w:val="24"/>
          <w:szCs w:val="24"/>
        </w:rPr>
        <w:t>collectivités publiques</w:t>
      </w:r>
      <w:r w:rsidR="00B836F8" w:rsidRPr="000B5123">
        <w:rPr>
          <w:rFonts w:ascii="Arial" w:hAnsi="Arial" w:cs="Arial"/>
          <w:sz w:val="24"/>
          <w:szCs w:val="24"/>
        </w:rPr>
        <w:t xml:space="preserve"> </w:t>
      </w:r>
      <w:r w:rsidR="002433AC" w:rsidRPr="000B5123">
        <w:rPr>
          <w:rFonts w:ascii="Arial" w:hAnsi="Arial" w:cs="Arial"/>
          <w:sz w:val="24"/>
          <w:szCs w:val="24"/>
        </w:rPr>
        <w:t xml:space="preserve">due à </w:t>
      </w:r>
      <w:r w:rsidR="00B836F8" w:rsidRPr="000B5123">
        <w:rPr>
          <w:rFonts w:ascii="Arial" w:hAnsi="Arial" w:cs="Arial"/>
          <w:sz w:val="24"/>
          <w:szCs w:val="24"/>
        </w:rPr>
        <w:t>la sortie du Comité de Nouméa</w:t>
      </w:r>
      <w:r w:rsidR="00577D11" w:rsidRPr="000B5123">
        <w:rPr>
          <w:rFonts w:ascii="Arial" w:hAnsi="Arial" w:cs="Arial"/>
          <w:sz w:val="24"/>
          <w:szCs w:val="24"/>
        </w:rPr>
        <w:t xml:space="preserve"> du périmètre des comptes</w:t>
      </w:r>
      <w:r w:rsidR="006C4E6E" w:rsidRPr="000B5123">
        <w:rPr>
          <w:rFonts w:ascii="Arial" w:hAnsi="Arial" w:cs="Arial"/>
          <w:sz w:val="24"/>
          <w:szCs w:val="24"/>
        </w:rPr>
        <w:t xml:space="preserve">. </w:t>
      </w:r>
    </w:p>
    <w:p w14:paraId="423E411A" w14:textId="6954692B" w:rsidR="005F35E6" w:rsidRPr="000B5123" w:rsidRDefault="005F35E6" w:rsidP="00F26BCA">
      <w:pPr>
        <w:spacing w:after="0"/>
        <w:ind w:left="851"/>
        <w:contextualSpacing/>
        <w:rPr>
          <w:rFonts w:ascii="Arial" w:hAnsi="Arial" w:cs="Arial"/>
          <w:sz w:val="24"/>
          <w:szCs w:val="24"/>
        </w:rPr>
      </w:pPr>
    </w:p>
    <w:p w14:paraId="665397F2" w14:textId="1786774F" w:rsidR="005F35E6" w:rsidRPr="000B5123" w:rsidRDefault="00F64742" w:rsidP="008422CD">
      <w:pPr>
        <w:pStyle w:val="Titre2"/>
        <w:ind w:left="851"/>
      </w:pPr>
      <w:bookmarkStart w:id="9" w:name="_Toc168581072"/>
      <w:r>
        <w:t>É</w:t>
      </w:r>
      <w:r w:rsidR="005F35E6" w:rsidRPr="000B5123">
        <w:t>quilibre du CROD et du CER</w:t>
      </w:r>
      <w:bookmarkEnd w:id="9"/>
      <w:r w:rsidR="005F35E6" w:rsidRPr="000B5123">
        <w:t xml:space="preserve"> </w:t>
      </w:r>
    </w:p>
    <w:p w14:paraId="41955C77" w14:textId="132F3C1E" w:rsidR="005F35E6" w:rsidRPr="000B5123" w:rsidRDefault="005F35E6" w:rsidP="00F26BCA">
      <w:pPr>
        <w:spacing w:after="0"/>
        <w:ind w:left="851"/>
        <w:contextualSpacing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 xml:space="preserve">Le total des produits du CROD est </w:t>
      </w:r>
      <w:r w:rsidR="00DC57F3" w:rsidRPr="000B5123">
        <w:rPr>
          <w:rFonts w:ascii="Arial" w:hAnsi="Arial" w:cs="Arial"/>
          <w:sz w:val="24"/>
          <w:szCs w:val="24"/>
        </w:rPr>
        <w:t>inférieur</w:t>
      </w:r>
      <w:r w:rsidR="0080395B" w:rsidRPr="000B5123">
        <w:rPr>
          <w:rFonts w:ascii="Arial" w:hAnsi="Arial" w:cs="Arial"/>
          <w:sz w:val="24"/>
          <w:szCs w:val="24"/>
        </w:rPr>
        <w:t xml:space="preserve"> </w:t>
      </w:r>
      <w:r w:rsidRPr="000B5123">
        <w:rPr>
          <w:rFonts w:ascii="Arial" w:hAnsi="Arial" w:cs="Arial"/>
          <w:sz w:val="24"/>
          <w:szCs w:val="24"/>
        </w:rPr>
        <w:t xml:space="preserve">à ses charges de </w:t>
      </w:r>
      <w:r w:rsidR="00DC57F3" w:rsidRPr="000B5123">
        <w:rPr>
          <w:rFonts w:ascii="Arial" w:hAnsi="Arial" w:cs="Arial"/>
          <w:sz w:val="24"/>
          <w:szCs w:val="24"/>
        </w:rPr>
        <w:t>2</w:t>
      </w:r>
      <w:r w:rsidR="008A4E11" w:rsidRPr="000B5123">
        <w:rPr>
          <w:rFonts w:ascii="Arial" w:hAnsi="Arial" w:cs="Arial"/>
          <w:sz w:val="24"/>
          <w:szCs w:val="24"/>
        </w:rPr>
        <w:t xml:space="preserve"> 033 </w:t>
      </w:r>
      <w:r w:rsidRPr="000B5123">
        <w:rPr>
          <w:rFonts w:ascii="Arial" w:hAnsi="Arial" w:cs="Arial"/>
          <w:sz w:val="24"/>
          <w:szCs w:val="24"/>
        </w:rPr>
        <w:t xml:space="preserve">K€. </w:t>
      </w:r>
      <w:r w:rsidR="00B54D8F" w:rsidRPr="000B5123">
        <w:rPr>
          <w:rFonts w:ascii="Arial" w:hAnsi="Arial" w:cs="Arial"/>
          <w:sz w:val="24"/>
          <w:szCs w:val="24"/>
        </w:rPr>
        <w:t xml:space="preserve">Le CER des ressources collectées auprès du public présente un </w:t>
      </w:r>
      <w:r w:rsidR="00DC57F3" w:rsidRPr="000B5123">
        <w:rPr>
          <w:rFonts w:ascii="Arial" w:hAnsi="Arial" w:cs="Arial"/>
          <w:sz w:val="24"/>
          <w:szCs w:val="24"/>
        </w:rPr>
        <w:t xml:space="preserve">déficit de </w:t>
      </w:r>
      <w:r w:rsidR="008A4E11" w:rsidRPr="000B5123">
        <w:rPr>
          <w:rFonts w:ascii="Arial" w:hAnsi="Arial" w:cs="Arial"/>
          <w:sz w:val="24"/>
          <w:szCs w:val="24"/>
        </w:rPr>
        <w:t>2 117</w:t>
      </w:r>
      <w:r w:rsidR="005F7B4A" w:rsidRPr="000B5123">
        <w:rPr>
          <w:rFonts w:ascii="Arial" w:hAnsi="Arial" w:cs="Arial"/>
          <w:sz w:val="24"/>
          <w:szCs w:val="24"/>
        </w:rPr>
        <w:t xml:space="preserve"> K€ en 20</w:t>
      </w:r>
      <w:r w:rsidR="00DC57F3" w:rsidRPr="000B5123">
        <w:rPr>
          <w:rFonts w:ascii="Arial" w:hAnsi="Arial" w:cs="Arial"/>
          <w:sz w:val="24"/>
          <w:szCs w:val="24"/>
        </w:rPr>
        <w:t>2</w:t>
      </w:r>
      <w:r w:rsidR="008A4E11" w:rsidRPr="000B5123">
        <w:rPr>
          <w:rFonts w:ascii="Arial" w:hAnsi="Arial" w:cs="Arial"/>
          <w:sz w:val="24"/>
          <w:szCs w:val="24"/>
        </w:rPr>
        <w:t>3</w:t>
      </w:r>
      <w:r w:rsidR="00B54D8F" w:rsidRPr="000B5123">
        <w:rPr>
          <w:rFonts w:ascii="Arial" w:hAnsi="Arial" w:cs="Arial"/>
          <w:sz w:val="24"/>
          <w:szCs w:val="24"/>
        </w:rPr>
        <w:t xml:space="preserve">. </w:t>
      </w:r>
      <w:r w:rsidR="005F7B4A" w:rsidRPr="000B5123">
        <w:rPr>
          <w:rFonts w:ascii="Arial" w:hAnsi="Arial" w:cs="Arial"/>
          <w:sz w:val="24"/>
          <w:szCs w:val="24"/>
        </w:rPr>
        <w:t>Ce</w:t>
      </w:r>
      <w:r w:rsidR="00DC57F3" w:rsidRPr="000B5123">
        <w:rPr>
          <w:rFonts w:ascii="Arial" w:hAnsi="Arial" w:cs="Arial"/>
          <w:sz w:val="24"/>
          <w:szCs w:val="24"/>
        </w:rPr>
        <w:t xml:space="preserve"> déficit réduit le </w:t>
      </w:r>
      <w:r w:rsidR="005F7B4A" w:rsidRPr="000B5123">
        <w:rPr>
          <w:rFonts w:ascii="Arial" w:hAnsi="Arial" w:cs="Arial"/>
          <w:sz w:val="24"/>
          <w:szCs w:val="24"/>
        </w:rPr>
        <w:t xml:space="preserve">montant des </w:t>
      </w:r>
      <w:r w:rsidR="00B54D8F" w:rsidRPr="000B5123">
        <w:rPr>
          <w:rFonts w:ascii="Arial" w:hAnsi="Arial" w:cs="Arial"/>
          <w:sz w:val="24"/>
          <w:szCs w:val="24"/>
        </w:rPr>
        <w:t xml:space="preserve">ressources reportées en début d’exercice </w:t>
      </w:r>
      <w:r w:rsidR="00DC57F3" w:rsidRPr="000B5123">
        <w:rPr>
          <w:rFonts w:ascii="Arial" w:hAnsi="Arial" w:cs="Arial"/>
          <w:sz w:val="24"/>
          <w:szCs w:val="24"/>
        </w:rPr>
        <w:t xml:space="preserve">qui était de </w:t>
      </w:r>
      <w:r w:rsidR="00B54D8F" w:rsidRPr="000B5123">
        <w:rPr>
          <w:rFonts w:ascii="Arial" w:hAnsi="Arial" w:cs="Arial"/>
          <w:sz w:val="24"/>
          <w:szCs w:val="24"/>
        </w:rPr>
        <w:t>1</w:t>
      </w:r>
      <w:r w:rsidR="008A4E11" w:rsidRPr="000B5123">
        <w:rPr>
          <w:rFonts w:ascii="Arial" w:hAnsi="Arial" w:cs="Arial"/>
          <w:sz w:val="24"/>
          <w:szCs w:val="24"/>
        </w:rPr>
        <w:t xml:space="preserve">2 533 </w:t>
      </w:r>
      <w:r w:rsidR="00B54D8F" w:rsidRPr="000B5123">
        <w:rPr>
          <w:rFonts w:ascii="Arial" w:hAnsi="Arial" w:cs="Arial"/>
          <w:sz w:val="24"/>
          <w:szCs w:val="24"/>
        </w:rPr>
        <w:t>K€</w:t>
      </w:r>
      <w:r w:rsidR="00DC57F3" w:rsidRPr="000B5123">
        <w:rPr>
          <w:rFonts w:ascii="Arial" w:hAnsi="Arial" w:cs="Arial"/>
          <w:sz w:val="24"/>
          <w:szCs w:val="24"/>
        </w:rPr>
        <w:t>. En</w:t>
      </w:r>
      <w:r w:rsidR="00F61396" w:rsidRPr="000B5123">
        <w:rPr>
          <w:rFonts w:ascii="Arial" w:hAnsi="Arial" w:cs="Arial"/>
          <w:sz w:val="24"/>
          <w:szCs w:val="24"/>
        </w:rPr>
        <w:t xml:space="preserve"> fin </w:t>
      </w:r>
      <w:r w:rsidR="00DC57F3" w:rsidRPr="000B5123">
        <w:rPr>
          <w:rFonts w:ascii="Arial" w:hAnsi="Arial" w:cs="Arial"/>
          <w:sz w:val="24"/>
          <w:szCs w:val="24"/>
        </w:rPr>
        <w:t xml:space="preserve">d’exercice </w:t>
      </w:r>
      <w:r w:rsidR="00F61396" w:rsidRPr="000B5123">
        <w:rPr>
          <w:rFonts w:ascii="Arial" w:hAnsi="Arial" w:cs="Arial"/>
          <w:sz w:val="24"/>
          <w:szCs w:val="24"/>
        </w:rPr>
        <w:t>202</w:t>
      </w:r>
      <w:r w:rsidR="008A4E11" w:rsidRPr="000B5123">
        <w:rPr>
          <w:rFonts w:ascii="Arial" w:hAnsi="Arial" w:cs="Arial"/>
          <w:sz w:val="24"/>
          <w:szCs w:val="24"/>
        </w:rPr>
        <w:t>3</w:t>
      </w:r>
      <w:r w:rsidR="00DC57F3" w:rsidRPr="000B5123">
        <w:rPr>
          <w:rFonts w:ascii="Arial" w:hAnsi="Arial" w:cs="Arial"/>
          <w:sz w:val="24"/>
          <w:szCs w:val="24"/>
        </w:rPr>
        <w:t>, les ressources reportées atteignent 1</w:t>
      </w:r>
      <w:r w:rsidR="008A4E11" w:rsidRPr="000B5123">
        <w:rPr>
          <w:rFonts w:ascii="Arial" w:hAnsi="Arial" w:cs="Arial"/>
          <w:sz w:val="24"/>
          <w:szCs w:val="24"/>
        </w:rPr>
        <w:t>0</w:t>
      </w:r>
      <w:r w:rsidR="00DC57F3" w:rsidRPr="000B5123">
        <w:rPr>
          <w:rFonts w:ascii="Arial" w:hAnsi="Arial" w:cs="Arial"/>
          <w:sz w:val="24"/>
          <w:szCs w:val="24"/>
        </w:rPr>
        <w:t> </w:t>
      </w:r>
      <w:r w:rsidR="008A4E11" w:rsidRPr="000B5123">
        <w:rPr>
          <w:rFonts w:ascii="Arial" w:hAnsi="Arial" w:cs="Arial"/>
          <w:sz w:val="24"/>
          <w:szCs w:val="24"/>
        </w:rPr>
        <w:t>416</w:t>
      </w:r>
      <w:r w:rsidR="00DC57F3" w:rsidRPr="000B5123">
        <w:rPr>
          <w:rFonts w:ascii="Arial" w:hAnsi="Arial" w:cs="Arial"/>
          <w:sz w:val="24"/>
          <w:szCs w:val="24"/>
        </w:rPr>
        <w:t xml:space="preserve"> K€.</w:t>
      </w:r>
    </w:p>
    <w:p w14:paraId="49E0E359" w14:textId="77777777" w:rsidR="009A1789" w:rsidRPr="000B5123" w:rsidRDefault="009A1789" w:rsidP="00F26BCA">
      <w:pPr>
        <w:spacing w:after="0"/>
        <w:ind w:left="851"/>
        <w:rPr>
          <w:rFonts w:ascii="Arial" w:hAnsi="Arial" w:cs="Arial"/>
          <w:sz w:val="24"/>
          <w:szCs w:val="24"/>
        </w:rPr>
      </w:pPr>
    </w:p>
    <w:p w14:paraId="537EAD9D" w14:textId="77777777" w:rsidR="00894117" w:rsidRPr="000B5123" w:rsidRDefault="00894117" w:rsidP="008422CD">
      <w:pPr>
        <w:pStyle w:val="Titre1"/>
        <w:ind w:left="851"/>
      </w:pPr>
      <w:bookmarkStart w:id="10" w:name="_Toc168581073"/>
      <w:r w:rsidRPr="000B5123">
        <w:lastRenderedPageBreak/>
        <w:t>Commentaires et conclusion</w:t>
      </w:r>
      <w:bookmarkEnd w:id="10"/>
    </w:p>
    <w:p w14:paraId="3DD74989" w14:textId="6F88F169" w:rsidR="003D7C83" w:rsidRPr="000B5123" w:rsidRDefault="00894117" w:rsidP="00F26BCA">
      <w:pPr>
        <w:spacing w:after="0"/>
        <w:ind w:left="851"/>
        <w:rPr>
          <w:rFonts w:ascii="Arial" w:hAnsi="Arial" w:cs="Arial"/>
          <w:sz w:val="24"/>
          <w:szCs w:val="24"/>
        </w:rPr>
      </w:pPr>
      <w:r w:rsidRPr="000B5123">
        <w:rPr>
          <w:rFonts w:ascii="Arial" w:hAnsi="Arial" w:cs="Arial"/>
          <w:sz w:val="24"/>
          <w:szCs w:val="24"/>
        </w:rPr>
        <w:t>L’exercice 20</w:t>
      </w:r>
      <w:r w:rsidR="00B54D8F" w:rsidRPr="000B5123">
        <w:rPr>
          <w:rFonts w:ascii="Arial" w:hAnsi="Arial" w:cs="Arial"/>
          <w:sz w:val="24"/>
          <w:szCs w:val="24"/>
        </w:rPr>
        <w:t>2</w:t>
      </w:r>
      <w:r w:rsidR="00D03654" w:rsidRPr="000B5123">
        <w:rPr>
          <w:rFonts w:ascii="Arial" w:hAnsi="Arial" w:cs="Arial"/>
          <w:sz w:val="24"/>
          <w:szCs w:val="24"/>
        </w:rPr>
        <w:t>3</w:t>
      </w:r>
      <w:r w:rsidRPr="000B5123">
        <w:rPr>
          <w:rFonts w:ascii="Arial" w:hAnsi="Arial" w:cs="Arial"/>
          <w:sz w:val="24"/>
          <w:szCs w:val="24"/>
        </w:rPr>
        <w:t xml:space="preserve"> </w:t>
      </w:r>
      <w:r w:rsidR="008A7ADB" w:rsidRPr="000B5123">
        <w:rPr>
          <w:rFonts w:ascii="Arial" w:hAnsi="Arial" w:cs="Arial"/>
          <w:sz w:val="24"/>
          <w:szCs w:val="24"/>
        </w:rPr>
        <w:t>est marqué</w:t>
      </w:r>
      <w:r w:rsidR="00B94739" w:rsidRPr="000B5123">
        <w:rPr>
          <w:rFonts w:ascii="Arial" w:hAnsi="Arial" w:cs="Arial"/>
          <w:sz w:val="24"/>
          <w:szCs w:val="24"/>
        </w:rPr>
        <w:t>e par la mise en place des nouvelles offres de services vers les déficients visuels, notamment dans le domaine culturel, dans un contexte qui pousse à la hausse le coût de nos facteurs de production.</w:t>
      </w:r>
      <w:r w:rsidR="008A7ADB" w:rsidRPr="000B5123">
        <w:rPr>
          <w:rFonts w:ascii="Arial" w:hAnsi="Arial" w:cs="Arial"/>
          <w:sz w:val="24"/>
          <w:szCs w:val="24"/>
        </w:rPr>
        <w:t xml:space="preserve"> </w:t>
      </w:r>
      <w:r w:rsidR="00B94739" w:rsidRPr="000B5123">
        <w:rPr>
          <w:rFonts w:ascii="Arial" w:hAnsi="Arial" w:cs="Arial"/>
          <w:sz w:val="24"/>
          <w:szCs w:val="24"/>
        </w:rPr>
        <w:t xml:space="preserve">La générosité publique continue de représenter une part très importante de ses ressources, puisqu’elle finance près du quart des charges de l’association. L’association se prépare à améliorer son offre avec un partenariat au long cours avec l’hôpital des </w:t>
      </w:r>
      <w:r w:rsidR="00F64742">
        <w:rPr>
          <w:rFonts w:ascii="Arial" w:hAnsi="Arial" w:cs="Arial"/>
          <w:sz w:val="24"/>
          <w:szCs w:val="24"/>
        </w:rPr>
        <w:t>15-20</w:t>
      </w:r>
      <w:r w:rsidR="00B94739" w:rsidRPr="000B5123">
        <w:rPr>
          <w:rFonts w:ascii="Arial" w:hAnsi="Arial" w:cs="Arial"/>
          <w:sz w:val="24"/>
          <w:szCs w:val="24"/>
        </w:rPr>
        <w:t xml:space="preserve">, à restructurer les relations financières entre ses établissements </w:t>
      </w:r>
      <w:r w:rsidR="00553F12" w:rsidRPr="000B5123">
        <w:rPr>
          <w:rFonts w:ascii="Arial" w:hAnsi="Arial" w:cs="Arial"/>
          <w:sz w:val="24"/>
          <w:szCs w:val="24"/>
        </w:rPr>
        <w:t xml:space="preserve">et les autorités de tarification, et à engager un projet AVH-Autonomies 2028 pour </w:t>
      </w:r>
      <w:r w:rsidR="00AC6BC7" w:rsidRPr="000B5123">
        <w:rPr>
          <w:rFonts w:ascii="Arial" w:hAnsi="Arial" w:cs="Arial"/>
          <w:sz w:val="24"/>
          <w:szCs w:val="24"/>
        </w:rPr>
        <w:t xml:space="preserve">maitriser ses coûts et </w:t>
      </w:r>
      <w:r w:rsidR="00553F12" w:rsidRPr="000B5123">
        <w:rPr>
          <w:rFonts w:ascii="Arial" w:hAnsi="Arial" w:cs="Arial"/>
          <w:sz w:val="24"/>
          <w:szCs w:val="24"/>
        </w:rPr>
        <w:t>améliorer l</w:t>
      </w:r>
      <w:r w:rsidR="00AC6BC7" w:rsidRPr="000B5123">
        <w:rPr>
          <w:rFonts w:ascii="Arial" w:hAnsi="Arial" w:cs="Arial"/>
          <w:sz w:val="24"/>
          <w:szCs w:val="24"/>
        </w:rPr>
        <w:t>’utilisation de s</w:t>
      </w:r>
      <w:r w:rsidR="00553F12" w:rsidRPr="000B5123">
        <w:rPr>
          <w:rFonts w:ascii="Arial" w:hAnsi="Arial" w:cs="Arial"/>
          <w:sz w:val="24"/>
          <w:szCs w:val="24"/>
        </w:rPr>
        <w:t xml:space="preserve">es </w:t>
      </w:r>
      <w:r w:rsidR="00771E22" w:rsidRPr="000B5123">
        <w:rPr>
          <w:rFonts w:ascii="Arial" w:hAnsi="Arial" w:cs="Arial"/>
          <w:sz w:val="24"/>
          <w:szCs w:val="24"/>
        </w:rPr>
        <w:t>moyens.</w:t>
      </w:r>
      <w:r w:rsidR="008615B4" w:rsidRPr="000B5123">
        <w:rPr>
          <w:rFonts w:ascii="Arial" w:hAnsi="Arial" w:cs="Arial"/>
          <w:sz w:val="24"/>
          <w:szCs w:val="24"/>
        </w:rPr>
        <w:t xml:space="preserve">  </w:t>
      </w:r>
    </w:p>
    <w:sectPr w:rsidR="003D7C83" w:rsidRPr="000B5123" w:rsidSect="00CE5B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66E009" w14:textId="77777777" w:rsidR="00CE5B4F" w:rsidRDefault="00CE5B4F">
      <w:pPr>
        <w:spacing w:after="0" w:line="240" w:lineRule="auto"/>
      </w:pPr>
      <w:r>
        <w:separator/>
      </w:r>
    </w:p>
  </w:endnote>
  <w:endnote w:type="continuationSeparator" w:id="0">
    <w:p w14:paraId="772BC1CE" w14:textId="77777777" w:rsidR="00CE5B4F" w:rsidRDefault="00CE5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5045053"/>
      <w:docPartObj>
        <w:docPartGallery w:val="Page Numbers (Bottom of Page)"/>
        <w:docPartUnique/>
      </w:docPartObj>
    </w:sdtPr>
    <w:sdtEndPr/>
    <w:sdtContent>
      <w:p w14:paraId="74F2DFB6" w14:textId="755BA191" w:rsidR="00365A53" w:rsidRDefault="00365A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FC97C2" w14:textId="77777777" w:rsidR="00365A53" w:rsidRDefault="00365A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9842391"/>
      <w:docPartObj>
        <w:docPartGallery w:val="Page Numbers (Bottom of Page)"/>
        <w:docPartUnique/>
      </w:docPartObj>
    </w:sdtPr>
    <w:sdtEndPr/>
    <w:sdtContent>
      <w:p w14:paraId="74FDB108" w14:textId="3F161606" w:rsidR="00365A53" w:rsidRDefault="00365A5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A46518" w14:textId="77777777" w:rsidR="006002D0" w:rsidRDefault="006002D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1EFEA" w14:textId="77777777" w:rsidR="00365A53" w:rsidRDefault="00365A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27967" w14:textId="77777777" w:rsidR="00CE5B4F" w:rsidRDefault="00CE5B4F">
      <w:pPr>
        <w:spacing w:after="0" w:line="240" w:lineRule="auto"/>
      </w:pPr>
      <w:r>
        <w:separator/>
      </w:r>
    </w:p>
  </w:footnote>
  <w:footnote w:type="continuationSeparator" w:id="0">
    <w:p w14:paraId="18FDE7AE" w14:textId="77777777" w:rsidR="00CE5B4F" w:rsidRDefault="00CE5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A59BF" w14:textId="77777777" w:rsidR="00365A53" w:rsidRDefault="00365A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15A59" w14:textId="77777777" w:rsidR="006002D0" w:rsidRDefault="006002D0" w:rsidP="003D7C83">
    <w:pPr>
      <w:pStyle w:val="En-tte"/>
      <w:tabs>
        <w:tab w:val="clear" w:pos="9072"/>
        <w:tab w:val="left" w:pos="6029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C3057" w14:textId="77777777" w:rsidR="00365A53" w:rsidRDefault="00365A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D7FA1"/>
    <w:multiLevelType w:val="hybridMultilevel"/>
    <w:tmpl w:val="9CEC8466"/>
    <w:lvl w:ilvl="0" w:tplc="9C46B6C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7400782"/>
    <w:multiLevelType w:val="hybridMultilevel"/>
    <w:tmpl w:val="7CA0AB5C"/>
    <w:lvl w:ilvl="0" w:tplc="2384DAA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556466">
    <w:abstractNumId w:val="1"/>
  </w:num>
  <w:num w:numId="2" w16cid:durableId="1137189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17"/>
    <w:rsid w:val="00003038"/>
    <w:rsid w:val="00003A57"/>
    <w:rsid w:val="00005F54"/>
    <w:rsid w:val="00011C31"/>
    <w:rsid w:val="00014A4A"/>
    <w:rsid w:val="00027922"/>
    <w:rsid w:val="00030063"/>
    <w:rsid w:val="00033AA0"/>
    <w:rsid w:val="000348BB"/>
    <w:rsid w:val="00042584"/>
    <w:rsid w:val="00045CD2"/>
    <w:rsid w:val="000468B8"/>
    <w:rsid w:val="00046B1D"/>
    <w:rsid w:val="00050149"/>
    <w:rsid w:val="000523B7"/>
    <w:rsid w:val="00052D3F"/>
    <w:rsid w:val="00053D49"/>
    <w:rsid w:val="0005545B"/>
    <w:rsid w:val="000658A0"/>
    <w:rsid w:val="0006596A"/>
    <w:rsid w:val="000662C0"/>
    <w:rsid w:val="00082D58"/>
    <w:rsid w:val="000835CA"/>
    <w:rsid w:val="000847F8"/>
    <w:rsid w:val="00086D45"/>
    <w:rsid w:val="00087C2A"/>
    <w:rsid w:val="00087DED"/>
    <w:rsid w:val="000916C5"/>
    <w:rsid w:val="000930E2"/>
    <w:rsid w:val="00093632"/>
    <w:rsid w:val="000A555A"/>
    <w:rsid w:val="000B0F79"/>
    <w:rsid w:val="000B314D"/>
    <w:rsid w:val="000B5123"/>
    <w:rsid w:val="000B7536"/>
    <w:rsid w:val="000C175E"/>
    <w:rsid w:val="000C2777"/>
    <w:rsid w:val="000C515A"/>
    <w:rsid w:val="000C5D9B"/>
    <w:rsid w:val="000D3489"/>
    <w:rsid w:val="000F7346"/>
    <w:rsid w:val="0010282D"/>
    <w:rsid w:val="00102936"/>
    <w:rsid w:val="00103F88"/>
    <w:rsid w:val="0010726B"/>
    <w:rsid w:val="00110EB4"/>
    <w:rsid w:val="00111CC0"/>
    <w:rsid w:val="001265E7"/>
    <w:rsid w:val="00127DD1"/>
    <w:rsid w:val="001413DB"/>
    <w:rsid w:val="0014202F"/>
    <w:rsid w:val="001422EA"/>
    <w:rsid w:val="0015044B"/>
    <w:rsid w:val="00151051"/>
    <w:rsid w:val="00155ABA"/>
    <w:rsid w:val="001615B2"/>
    <w:rsid w:val="0016272E"/>
    <w:rsid w:val="00163373"/>
    <w:rsid w:val="00165343"/>
    <w:rsid w:val="00165E88"/>
    <w:rsid w:val="0016614A"/>
    <w:rsid w:val="00174C69"/>
    <w:rsid w:val="001758C4"/>
    <w:rsid w:val="00180ED4"/>
    <w:rsid w:val="00191D87"/>
    <w:rsid w:val="001936B3"/>
    <w:rsid w:val="001956EA"/>
    <w:rsid w:val="001A36F5"/>
    <w:rsid w:val="001A791D"/>
    <w:rsid w:val="001B0986"/>
    <w:rsid w:val="001B0A54"/>
    <w:rsid w:val="001B0B08"/>
    <w:rsid w:val="001C7E58"/>
    <w:rsid w:val="001C7E8C"/>
    <w:rsid w:val="001D1672"/>
    <w:rsid w:val="001D7164"/>
    <w:rsid w:val="001D77D9"/>
    <w:rsid w:val="001D7C43"/>
    <w:rsid w:val="001E6847"/>
    <w:rsid w:val="001E73BB"/>
    <w:rsid w:val="001F05DB"/>
    <w:rsid w:val="001F3866"/>
    <w:rsid w:val="0020047F"/>
    <w:rsid w:val="00203B4C"/>
    <w:rsid w:val="00213CF3"/>
    <w:rsid w:val="00220B9F"/>
    <w:rsid w:val="002227FA"/>
    <w:rsid w:val="00223786"/>
    <w:rsid w:val="00226DFD"/>
    <w:rsid w:val="002273F7"/>
    <w:rsid w:val="002308A7"/>
    <w:rsid w:val="00234836"/>
    <w:rsid w:val="00234892"/>
    <w:rsid w:val="002375DB"/>
    <w:rsid w:val="002414F3"/>
    <w:rsid w:val="00241D22"/>
    <w:rsid w:val="002433AC"/>
    <w:rsid w:val="00244A80"/>
    <w:rsid w:val="002515D7"/>
    <w:rsid w:val="00257AF2"/>
    <w:rsid w:val="00262547"/>
    <w:rsid w:val="002659A4"/>
    <w:rsid w:val="002713BD"/>
    <w:rsid w:val="002719DA"/>
    <w:rsid w:val="00276F96"/>
    <w:rsid w:val="002814F7"/>
    <w:rsid w:val="002836F0"/>
    <w:rsid w:val="00293F05"/>
    <w:rsid w:val="00295000"/>
    <w:rsid w:val="002A2863"/>
    <w:rsid w:val="002A4352"/>
    <w:rsid w:val="002A4502"/>
    <w:rsid w:val="002A6A9C"/>
    <w:rsid w:val="002B063F"/>
    <w:rsid w:val="002B0F33"/>
    <w:rsid w:val="002B1FEF"/>
    <w:rsid w:val="002B41B8"/>
    <w:rsid w:val="002B7843"/>
    <w:rsid w:val="002C40D9"/>
    <w:rsid w:val="002C4DDF"/>
    <w:rsid w:val="002C5E8E"/>
    <w:rsid w:val="002D0524"/>
    <w:rsid w:val="002D1C85"/>
    <w:rsid w:val="002D2579"/>
    <w:rsid w:val="002E4C08"/>
    <w:rsid w:val="002E6479"/>
    <w:rsid w:val="002F0464"/>
    <w:rsid w:val="002F1CD7"/>
    <w:rsid w:val="002F4B72"/>
    <w:rsid w:val="002F7BFD"/>
    <w:rsid w:val="00303939"/>
    <w:rsid w:val="00304637"/>
    <w:rsid w:val="00304CA1"/>
    <w:rsid w:val="00311B47"/>
    <w:rsid w:val="00317134"/>
    <w:rsid w:val="00326252"/>
    <w:rsid w:val="00326E20"/>
    <w:rsid w:val="003275D6"/>
    <w:rsid w:val="00330723"/>
    <w:rsid w:val="003324D7"/>
    <w:rsid w:val="00332862"/>
    <w:rsid w:val="00333FA6"/>
    <w:rsid w:val="003349FB"/>
    <w:rsid w:val="003506EA"/>
    <w:rsid w:val="0035232E"/>
    <w:rsid w:val="0036316A"/>
    <w:rsid w:val="003634B4"/>
    <w:rsid w:val="00365A53"/>
    <w:rsid w:val="00365B08"/>
    <w:rsid w:val="00366851"/>
    <w:rsid w:val="003745EC"/>
    <w:rsid w:val="003746AD"/>
    <w:rsid w:val="003770B4"/>
    <w:rsid w:val="003857DA"/>
    <w:rsid w:val="00386D2A"/>
    <w:rsid w:val="0038752F"/>
    <w:rsid w:val="003915D6"/>
    <w:rsid w:val="00393BA3"/>
    <w:rsid w:val="003B14FD"/>
    <w:rsid w:val="003B526E"/>
    <w:rsid w:val="003C5570"/>
    <w:rsid w:val="003D280A"/>
    <w:rsid w:val="003D7C83"/>
    <w:rsid w:val="003E0133"/>
    <w:rsid w:val="003E51A2"/>
    <w:rsid w:val="003F23B8"/>
    <w:rsid w:val="003F7A54"/>
    <w:rsid w:val="003F7BB9"/>
    <w:rsid w:val="00402DE6"/>
    <w:rsid w:val="00404C31"/>
    <w:rsid w:val="00407C0E"/>
    <w:rsid w:val="004118BF"/>
    <w:rsid w:val="004140A7"/>
    <w:rsid w:val="00415FFC"/>
    <w:rsid w:val="00423D9E"/>
    <w:rsid w:val="00431E31"/>
    <w:rsid w:val="00433FF5"/>
    <w:rsid w:val="00444058"/>
    <w:rsid w:val="00447387"/>
    <w:rsid w:val="004554E3"/>
    <w:rsid w:val="004604B5"/>
    <w:rsid w:val="00461033"/>
    <w:rsid w:val="0047289E"/>
    <w:rsid w:val="004821DB"/>
    <w:rsid w:val="004A107B"/>
    <w:rsid w:val="004A3B71"/>
    <w:rsid w:val="004A53B4"/>
    <w:rsid w:val="004B049D"/>
    <w:rsid w:val="004B12F6"/>
    <w:rsid w:val="004B144D"/>
    <w:rsid w:val="004B7B23"/>
    <w:rsid w:val="004B7F26"/>
    <w:rsid w:val="004C58BD"/>
    <w:rsid w:val="004D020F"/>
    <w:rsid w:val="004D150E"/>
    <w:rsid w:val="004D5755"/>
    <w:rsid w:val="004D59A4"/>
    <w:rsid w:val="004E34B8"/>
    <w:rsid w:val="004E41CE"/>
    <w:rsid w:val="004E4B75"/>
    <w:rsid w:val="004E74E1"/>
    <w:rsid w:val="004F02E2"/>
    <w:rsid w:val="004F3235"/>
    <w:rsid w:val="004F39E4"/>
    <w:rsid w:val="00504B19"/>
    <w:rsid w:val="0050509B"/>
    <w:rsid w:val="00512EFF"/>
    <w:rsid w:val="00523EF8"/>
    <w:rsid w:val="005245C3"/>
    <w:rsid w:val="00531F71"/>
    <w:rsid w:val="005321FB"/>
    <w:rsid w:val="00532F8E"/>
    <w:rsid w:val="00533F22"/>
    <w:rsid w:val="00536B8C"/>
    <w:rsid w:val="00542FFA"/>
    <w:rsid w:val="0055149E"/>
    <w:rsid w:val="00551C48"/>
    <w:rsid w:val="005537B5"/>
    <w:rsid w:val="00553F12"/>
    <w:rsid w:val="00554BF7"/>
    <w:rsid w:val="0056394D"/>
    <w:rsid w:val="00567010"/>
    <w:rsid w:val="00571583"/>
    <w:rsid w:val="00571C07"/>
    <w:rsid w:val="00577D11"/>
    <w:rsid w:val="00583EF2"/>
    <w:rsid w:val="00586B74"/>
    <w:rsid w:val="00587E80"/>
    <w:rsid w:val="005902AA"/>
    <w:rsid w:val="0059443C"/>
    <w:rsid w:val="0059586E"/>
    <w:rsid w:val="005A5708"/>
    <w:rsid w:val="005B18A4"/>
    <w:rsid w:val="005B310D"/>
    <w:rsid w:val="005B763E"/>
    <w:rsid w:val="005C5809"/>
    <w:rsid w:val="005C68C5"/>
    <w:rsid w:val="005C730C"/>
    <w:rsid w:val="005D404D"/>
    <w:rsid w:val="005D617A"/>
    <w:rsid w:val="005E1F50"/>
    <w:rsid w:val="005E24D7"/>
    <w:rsid w:val="005E3122"/>
    <w:rsid w:val="005E42C0"/>
    <w:rsid w:val="005E7372"/>
    <w:rsid w:val="005F1763"/>
    <w:rsid w:val="005F2292"/>
    <w:rsid w:val="005F35E6"/>
    <w:rsid w:val="005F7B4A"/>
    <w:rsid w:val="006002D0"/>
    <w:rsid w:val="00600BEF"/>
    <w:rsid w:val="00606CC6"/>
    <w:rsid w:val="00616387"/>
    <w:rsid w:val="006178BA"/>
    <w:rsid w:val="00623312"/>
    <w:rsid w:val="006236BD"/>
    <w:rsid w:val="00623820"/>
    <w:rsid w:val="00625713"/>
    <w:rsid w:val="0062723B"/>
    <w:rsid w:val="006324F5"/>
    <w:rsid w:val="00634681"/>
    <w:rsid w:val="00637C50"/>
    <w:rsid w:val="00641B7D"/>
    <w:rsid w:val="0065096E"/>
    <w:rsid w:val="00654CB4"/>
    <w:rsid w:val="00655505"/>
    <w:rsid w:val="006561CC"/>
    <w:rsid w:val="006579D6"/>
    <w:rsid w:val="00664232"/>
    <w:rsid w:val="00664E79"/>
    <w:rsid w:val="00665709"/>
    <w:rsid w:val="00666282"/>
    <w:rsid w:val="00670120"/>
    <w:rsid w:val="00673B87"/>
    <w:rsid w:val="00673C59"/>
    <w:rsid w:val="00674241"/>
    <w:rsid w:val="00680E1C"/>
    <w:rsid w:val="00682BE5"/>
    <w:rsid w:val="00686463"/>
    <w:rsid w:val="00690BF2"/>
    <w:rsid w:val="00690D8C"/>
    <w:rsid w:val="00691723"/>
    <w:rsid w:val="00693BB9"/>
    <w:rsid w:val="006946B7"/>
    <w:rsid w:val="00695E79"/>
    <w:rsid w:val="006A062F"/>
    <w:rsid w:val="006A78EE"/>
    <w:rsid w:val="006B15A0"/>
    <w:rsid w:val="006B1A2D"/>
    <w:rsid w:val="006B6E99"/>
    <w:rsid w:val="006C077A"/>
    <w:rsid w:val="006C1465"/>
    <w:rsid w:val="006C4E6E"/>
    <w:rsid w:val="006D0388"/>
    <w:rsid w:val="006E0BF6"/>
    <w:rsid w:val="006E21B6"/>
    <w:rsid w:val="006E4854"/>
    <w:rsid w:val="006E7D82"/>
    <w:rsid w:val="006F17EE"/>
    <w:rsid w:val="007000DF"/>
    <w:rsid w:val="00702E8B"/>
    <w:rsid w:val="00703D10"/>
    <w:rsid w:val="00705A71"/>
    <w:rsid w:val="00706682"/>
    <w:rsid w:val="007116D0"/>
    <w:rsid w:val="0071376C"/>
    <w:rsid w:val="00716712"/>
    <w:rsid w:val="00723198"/>
    <w:rsid w:val="007258C6"/>
    <w:rsid w:val="00730B63"/>
    <w:rsid w:val="007314CE"/>
    <w:rsid w:val="00732295"/>
    <w:rsid w:val="00733562"/>
    <w:rsid w:val="0074105C"/>
    <w:rsid w:val="00741596"/>
    <w:rsid w:val="00742CF3"/>
    <w:rsid w:val="00762186"/>
    <w:rsid w:val="0077086D"/>
    <w:rsid w:val="0077182F"/>
    <w:rsid w:val="00771E22"/>
    <w:rsid w:val="007738D7"/>
    <w:rsid w:val="0079191C"/>
    <w:rsid w:val="007A0FA1"/>
    <w:rsid w:val="007A2542"/>
    <w:rsid w:val="007B60CA"/>
    <w:rsid w:val="007B6184"/>
    <w:rsid w:val="007C08CD"/>
    <w:rsid w:val="007C5133"/>
    <w:rsid w:val="007D00DB"/>
    <w:rsid w:val="007D1400"/>
    <w:rsid w:val="007D1A1B"/>
    <w:rsid w:val="007D48CF"/>
    <w:rsid w:val="007D6F81"/>
    <w:rsid w:val="007E1FB8"/>
    <w:rsid w:val="007E2ECD"/>
    <w:rsid w:val="007F1A50"/>
    <w:rsid w:val="007F3C96"/>
    <w:rsid w:val="007F57D1"/>
    <w:rsid w:val="008000E7"/>
    <w:rsid w:val="0080119D"/>
    <w:rsid w:val="00802A95"/>
    <w:rsid w:val="0080395B"/>
    <w:rsid w:val="00810765"/>
    <w:rsid w:val="008109D1"/>
    <w:rsid w:val="00813719"/>
    <w:rsid w:val="00814219"/>
    <w:rsid w:val="00814E0E"/>
    <w:rsid w:val="00816599"/>
    <w:rsid w:val="00825C8B"/>
    <w:rsid w:val="00825D58"/>
    <w:rsid w:val="00827A89"/>
    <w:rsid w:val="0083503E"/>
    <w:rsid w:val="008422CD"/>
    <w:rsid w:val="00846599"/>
    <w:rsid w:val="00846B86"/>
    <w:rsid w:val="008615B4"/>
    <w:rsid w:val="00863C61"/>
    <w:rsid w:val="0086701F"/>
    <w:rsid w:val="00881A6B"/>
    <w:rsid w:val="008841D7"/>
    <w:rsid w:val="00892D38"/>
    <w:rsid w:val="008934A1"/>
    <w:rsid w:val="00894117"/>
    <w:rsid w:val="008A0037"/>
    <w:rsid w:val="008A1D50"/>
    <w:rsid w:val="008A3BE7"/>
    <w:rsid w:val="008A3DC2"/>
    <w:rsid w:val="008A4E11"/>
    <w:rsid w:val="008A7ADB"/>
    <w:rsid w:val="008C4422"/>
    <w:rsid w:val="008C6329"/>
    <w:rsid w:val="008C6D3A"/>
    <w:rsid w:val="008C760F"/>
    <w:rsid w:val="008D1F8C"/>
    <w:rsid w:val="008D4885"/>
    <w:rsid w:val="008E049A"/>
    <w:rsid w:val="008E4201"/>
    <w:rsid w:val="008E51AD"/>
    <w:rsid w:val="008E7198"/>
    <w:rsid w:val="008F49EF"/>
    <w:rsid w:val="008F6D8C"/>
    <w:rsid w:val="0090114A"/>
    <w:rsid w:val="00903CB0"/>
    <w:rsid w:val="00906C1E"/>
    <w:rsid w:val="00911B1F"/>
    <w:rsid w:val="009122CC"/>
    <w:rsid w:val="0091380F"/>
    <w:rsid w:val="009200B6"/>
    <w:rsid w:val="00921943"/>
    <w:rsid w:val="00933655"/>
    <w:rsid w:val="0093521C"/>
    <w:rsid w:val="00941861"/>
    <w:rsid w:val="00952E5D"/>
    <w:rsid w:val="00970874"/>
    <w:rsid w:val="00972014"/>
    <w:rsid w:val="00984F4A"/>
    <w:rsid w:val="00984FB3"/>
    <w:rsid w:val="00997540"/>
    <w:rsid w:val="009A1789"/>
    <w:rsid w:val="009A2FAA"/>
    <w:rsid w:val="009A6308"/>
    <w:rsid w:val="009B61A6"/>
    <w:rsid w:val="009C0FC7"/>
    <w:rsid w:val="009C5C50"/>
    <w:rsid w:val="009C7BED"/>
    <w:rsid w:val="009C7D29"/>
    <w:rsid w:val="009D0DBA"/>
    <w:rsid w:val="009D1740"/>
    <w:rsid w:val="009D2D56"/>
    <w:rsid w:val="009D5952"/>
    <w:rsid w:val="009D6726"/>
    <w:rsid w:val="009E582A"/>
    <w:rsid w:val="009F0074"/>
    <w:rsid w:val="00A1179F"/>
    <w:rsid w:val="00A30B1C"/>
    <w:rsid w:val="00A36515"/>
    <w:rsid w:val="00A411D4"/>
    <w:rsid w:val="00A448A4"/>
    <w:rsid w:val="00A50C8F"/>
    <w:rsid w:val="00A53799"/>
    <w:rsid w:val="00A579B5"/>
    <w:rsid w:val="00A60A2B"/>
    <w:rsid w:val="00A631E9"/>
    <w:rsid w:val="00A64AED"/>
    <w:rsid w:val="00A65936"/>
    <w:rsid w:val="00A72837"/>
    <w:rsid w:val="00A739BA"/>
    <w:rsid w:val="00A73A33"/>
    <w:rsid w:val="00A8194A"/>
    <w:rsid w:val="00A947AE"/>
    <w:rsid w:val="00A96134"/>
    <w:rsid w:val="00A96B08"/>
    <w:rsid w:val="00A97ABD"/>
    <w:rsid w:val="00A97E87"/>
    <w:rsid w:val="00AA04A1"/>
    <w:rsid w:val="00AA319E"/>
    <w:rsid w:val="00AA7194"/>
    <w:rsid w:val="00AA7576"/>
    <w:rsid w:val="00AB2060"/>
    <w:rsid w:val="00AB2497"/>
    <w:rsid w:val="00AC6BC7"/>
    <w:rsid w:val="00AD1ADA"/>
    <w:rsid w:val="00AD2173"/>
    <w:rsid w:val="00AD34DB"/>
    <w:rsid w:val="00AD607A"/>
    <w:rsid w:val="00AD6CD4"/>
    <w:rsid w:val="00AE0E4D"/>
    <w:rsid w:val="00B0309A"/>
    <w:rsid w:val="00B04207"/>
    <w:rsid w:val="00B062E2"/>
    <w:rsid w:val="00B125E7"/>
    <w:rsid w:val="00B17373"/>
    <w:rsid w:val="00B17C40"/>
    <w:rsid w:val="00B303C5"/>
    <w:rsid w:val="00B35FA7"/>
    <w:rsid w:val="00B37D8D"/>
    <w:rsid w:val="00B427AC"/>
    <w:rsid w:val="00B4374D"/>
    <w:rsid w:val="00B469EA"/>
    <w:rsid w:val="00B5001F"/>
    <w:rsid w:val="00B548FA"/>
    <w:rsid w:val="00B54D8F"/>
    <w:rsid w:val="00B603BD"/>
    <w:rsid w:val="00B63471"/>
    <w:rsid w:val="00B75A1C"/>
    <w:rsid w:val="00B80052"/>
    <w:rsid w:val="00B836F8"/>
    <w:rsid w:val="00B94739"/>
    <w:rsid w:val="00B975AB"/>
    <w:rsid w:val="00BA46EA"/>
    <w:rsid w:val="00BB3C44"/>
    <w:rsid w:val="00BB44E1"/>
    <w:rsid w:val="00BB79D2"/>
    <w:rsid w:val="00BC2608"/>
    <w:rsid w:val="00BC2E8F"/>
    <w:rsid w:val="00BD19DF"/>
    <w:rsid w:val="00BD3473"/>
    <w:rsid w:val="00BD5457"/>
    <w:rsid w:val="00BE336F"/>
    <w:rsid w:val="00BF3007"/>
    <w:rsid w:val="00BF5BDA"/>
    <w:rsid w:val="00BF7E76"/>
    <w:rsid w:val="00C059D1"/>
    <w:rsid w:val="00C06577"/>
    <w:rsid w:val="00C07670"/>
    <w:rsid w:val="00C1137C"/>
    <w:rsid w:val="00C11925"/>
    <w:rsid w:val="00C13611"/>
    <w:rsid w:val="00C145FD"/>
    <w:rsid w:val="00C14B8C"/>
    <w:rsid w:val="00C14CE5"/>
    <w:rsid w:val="00C23EEE"/>
    <w:rsid w:val="00C27825"/>
    <w:rsid w:val="00C32888"/>
    <w:rsid w:val="00C374EE"/>
    <w:rsid w:val="00C4200E"/>
    <w:rsid w:val="00C52A90"/>
    <w:rsid w:val="00C5748A"/>
    <w:rsid w:val="00C670FC"/>
    <w:rsid w:val="00C706EA"/>
    <w:rsid w:val="00C72287"/>
    <w:rsid w:val="00C7301A"/>
    <w:rsid w:val="00C733E4"/>
    <w:rsid w:val="00C75B78"/>
    <w:rsid w:val="00C76EF6"/>
    <w:rsid w:val="00C800FF"/>
    <w:rsid w:val="00C9396E"/>
    <w:rsid w:val="00C93CE2"/>
    <w:rsid w:val="00C93DE5"/>
    <w:rsid w:val="00C968D6"/>
    <w:rsid w:val="00CA4F7F"/>
    <w:rsid w:val="00CB4703"/>
    <w:rsid w:val="00CC24B7"/>
    <w:rsid w:val="00CC3C49"/>
    <w:rsid w:val="00CC6051"/>
    <w:rsid w:val="00CD037C"/>
    <w:rsid w:val="00CD06A9"/>
    <w:rsid w:val="00CD3CAF"/>
    <w:rsid w:val="00CD43E0"/>
    <w:rsid w:val="00CD6AEE"/>
    <w:rsid w:val="00CE4E5C"/>
    <w:rsid w:val="00CE5B4F"/>
    <w:rsid w:val="00CE6A09"/>
    <w:rsid w:val="00CE76A5"/>
    <w:rsid w:val="00CF4D0D"/>
    <w:rsid w:val="00CF7214"/>
    <w:rsid w:val="00D03654"/>
    <w:rsid w:val="00D12242"/>
    <w:rsid w:val="00D141B7"/>
    <w:rsid w:val="00D160D6"/>
    <w:rsid w:val="00D2106A"/>
    <w:rsid w:val="00D2548C"/>
    <w:rsid w:val="00D31753"/>
    <w:rsid w:val="00D31824"/>
    <w:rsid w:val="00D366CC"/>
    <w:rsid w:val="00D415DB"/>
    <w:rsid w:val="00D43B18"/>
    <w:rsid w:val="00D4707D"/>
    <w:rsid w:val="00D54B67"/>
    <w:rsid w:val="00D554A2"/>
    <w:rsid w:val="00D564A0"/>
    <w:rsid w:val="00D60743"/>
    <w:rsid w:val="00D6303C"/>
    <w:rsid w:val="00D639BC"/>
    <w:rsid w:val="00D643D0"/>
    <w:rsid w:val="00D652BA"/>
    <w:rsid w:val="00D660E3"/>
    <w:rsid w:val="00D704B4"/>
    <w:rsid w:val="00D75355"/>
    <w:rsid w:val="00D75AC7"/>
    <w:rsid w:val="00D76C83"/>
    <w:rsid w:val="00D90DA6"/>
    <w:rsid w:val="00D93549"/>
    <w:rsid w:val="00D9368D"/>
    <w:rsid w:val="00D97755"/>
    <w:rsid w:val="00DA2418"/>
    <w:rsid w:val="00DA41A9"/>
    <w:rsid w:val="00DA58AB"/>
    <w:rsid w:val="00DA625A"/>
    <w:rsid w:val="00DB4318"/>
    <w:rsid w:val="00DB527D"/>
    <w:rsid w:val="00DC2688"/>
    <w:rsid w:val="00DC44D0"/>
    <w:rsid w:val="00DC57F3"/>
    <w:rsid w:val="00DC72A1"/>
    <w:rsid w:val="00DD1DD0"/>
    <w:rsid w:val="00DE3889"/>
    <w:rsid w:val="00DE63E0"/>
    <w:rsid w:val="00DF7EBC"/>
    <w:rsid w:val="00E00095"/>
    <w:rsid w:val="00E02CF7"/>
    <w:rsid w:val="00E06840"/>
    <w:rsid w:val="00E07A85"/>
    <w:rsid w:val="00E103AC"/>
    <w:rsid w:val="00E1332B"/>
    <w:rsid w:val="00E13E22"/>
    <w:rsid w:val="00E16960"/>
    <w:rsid w:val="00E256CF"/>
    <w:rsid w:val="00E25FA8"/>
    <w:rsid w:val="00E37B22"/>
    <w:rsid w:val="00E5033F"/>
    <w:rsid w:val="00E55E86"/>
    <w:rsid w:val="00E57906"/>
    <w:rsid w:val="00E6120A"/>
    <w:rsid w:val="00E715D5"/>
    <w:rsid w:val="00E74F77"/>
    <w:rsid w:val="00E7579E"/>
    <w:rsid w:val="00E76DF6"/>
    <w:rsid w:val="00E77928"/>
    <w:rsid w:val="00E82539"/>
    <w:rsid w:val="00E846CE"/>
    <w:rsid w:val="00EA246F"/>
    <w:rsid w:val="00EB5630"/>
    <w:rsid w:val="00EB6A8C"/>
    <w:rsid w:val="00EC01A1"/>
    <w:rsid w:val="00EC3A5C"/>
    <w:rsid w:val="00EC7818"/>
    <w:rsid w:val="00ED3946"/>
    <w:rsid w:val="00ED3EE5"/>
    <w:rsid w:val="00ED462A"/>
    <w:rsid w:val="00ED61BC"/>
    <w:rsid w:val="00EE3813"/>
    <w:rsid w:val="00EE4483"/>
    <w:rsid w:val="00EF1C44"/>
    <w:rsid w:val="00EF2725"/>
    <w:rsid w:val="00F021CE"/>
    <w:rsid w:val="00F04310"/>
    <w:rsid w:val="00F045C2"/>
    <w:rsid w:val="00F12598"/>
    <w:rsid w:val="00F226EA"/>
    <w:rsid w:val="00F26BCA"/>
    <w:rsid w:val="00F32B49"/>
    <w:rsid w:val="00F34A39"/>
    <w:rsid w:val="00F43E65"/>
    <w:rsid w:val="00F442BE"/>
    <w:rsid w:val="00F452DF"/>
    <w:rsid w:val="00F524E3"/>
    <w:rsid w:val="00F53C80"/>
    <w:rsid w:val="00F57621"/>
    <w:rsid w:val="00F57EE8"/>
    <w:rsid w:val="00F602A4"/>
    <w:rsid w:val="00F6039E"/>
    <w:rsid w:val="00F61396"/>
    <w:rsid w:val="00F636AB"/>
    <w:rsid w:val="00F64742"/>
    <w:rsid w:val="00F6539D"/>
    <w:rsid w:val="00F677BA"/>
    <w:rsid w:val="00F71727"/>
    <w:rsid w:val="00F72A15"/>
    <w:rsid w:val="00F77474"/>
    <w:rsid w:val="00F809CE"/>
    <w:rsid w:val="00F827A8"/>
    <w:rsid w:val="00F83B2E"/>
    <w:rsid w:val="00F84F2D"/>
    <w:rsid w:val="00F85274"/>
    <w:rsid w:val="00F9571A"/>
    <w:rsid w:val="00FA3D9A"/>
    <w:rsid w:val="00FA50E5"/>
    <w:rsid w:val="00FB3333"/>
    <w:rsid w:val="00FB3C79"/>
    <w:rsid w:val="00FB76A7"/>
    <w:rsid w:val="00FC1352"/>
    <w:rsid w:val="00FC1838"/>
    <w:rsid w:val="00FD1368"/>
    <w:rsid w:val="00FD2E50"/>
    <w:rsid w:val="00FD301F"/>
    <w:rsid w:val="00FD41BF"/>
    <w:rsid w:val="00FE35B2"/>
    <w:rsid w:val="00F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1BDB0"/>
  <w15:docId w15:val="{067EBDEA-B0EE-49B8-B7CD-D383B304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21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21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117"/>
  </w:style>
  <w:style w:type="paragraph" w:styleId="Pieddepage">
    <w:name w:val="footer"/>
    <w:basedOn w:val="Normal"/>
    <w:link w:val="PieddepageCar"/>
    <w:uiPriority w:val="99"/>
    <w:unhideWhenUsed/>
    <w:rsid w:val="0089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117"/>
  </w:style>
  <w:style w:type="paragraph" w:styleId="Paragraphedeliste">
    <w:name w:val="List Paragraph"/>
    <w:basedOn w:val="Normal"/>
    <w:uiPriority w:val="34"/>
    <w:qFormat/>
    <w:rsid w:val="009219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69E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046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0463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046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046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0463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304637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621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621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14A4A"/>
    <w:pPr>
      <w:spacing w:line="259" w:lineRule="auto"/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014A4A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14A4A"/>
    <w:pPr>
      <w:spacing w:after="100"/>
      <w:ind w:left="220"/>
    </w:pPr>
  </w:style>
  <w:style w:type="character" w:styleId="Lienhypertexte">
    <w:name w:val="Hyperlink"/>
    <w:basedOn w:val="Policepardfaut"/>
    <w:uiPriority w:val="99"/>
    <w:unhideWhenUsed/>
    <w:rsid w:val="00014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54B057CA3334F987FA9E6FA18D6F5" ma:contentTypeVersion="16" ma:contentTypeDescription="Crée un document." ma:contentTypeScope="" ma:versionID="154d665fa41b3c7c0827ee9e60085c4f">
  <xsd:schema xmlns:xsd="http://www.w3.org/2001/XMLSchema" xmlns:xs="http://www.w3.org/2001/XMLSchema" xmlns:p="http://schemas.microsoft.com/office/2006/metadata/properties" xmlns:ns2="a8cfc3bc-23c3-4ce2-85cf-e18f5ec646d1" xmlns:ns3="5526cd20-564b-49ad-9bbd-2c335469b3f7" targetNamespace="http://schemas.microsoft.com/office/2006/metadata/properties" ma:root="true" ma:fieldsID="b11722e4ac6529496defa7746d8b7ce4" ns2:_="" ns3:_="">
    <xsd:import namespace="a8cfc3bc-23c3-4ce2-85cf-e18f5ec646d1"/>
    <xsd:import namespace="5526cd20-564b-49ad-9bbd-2c335469b3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fc3bc-23c3-4ce2-85cf-e18f5ec64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5f817617-d30b-442d-a0f7-658d62f25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6cd20-564b-49ad-9bbd-2c335469b3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d7bfae3-2d6f-438c-b45d-b1e910a8e737}" ma:internalName="TaxCatchAll" ma:showField="CatchAllData" ma:web="5526cd20-564b-49ad-9bbd-2c335469b3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cfc3bc-23c3-4ce2-85cf-e18f5ec646d1">
      <Terms xmlns="http://schemas.microsoft.com/office/infopath/2007/PartnerControls"/>
    </lcf76f155ced4ddcb4097134ff3c332f>
    <TaxCatchAll xmlns="5526cd20-564b-49ad-9bbd-2c335469b3f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A063E-2342-4DAA-90D4-A39840DAC821}"/>
</file>

<file path=customXml/itemProps2.xml><?xml version="1.0" encoding="utf-8"?>
<ds:datastoreItem xmlns:ds="http://schemas.openxmlformats.org/officeDocument/2006/customXml" ds:itemID="{5AAD713E-27BF-4ED4-8D66-E08F14AF9A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694D09-5157-48DA-AF5B-510538313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115BC7-5756-41B4-99A3-F3640A632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3323</Words>
  <Characters>18279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AVH</Company>
  <LinksUpToDate>false</LinksUpToDate>
  <CharactersWithSpaces>21559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BOURDELAT Alain</dc:creator>
  <cp:keywords/>
  <dc:description/>
  <cp:lastModifiedBy>DELATTRE Christiane</cp:lastModifiedBy>
  <cp:revision>35</cp:revision>
  <cp:lastPrinted>2024-06-06T13:28:00Z</cp:lastPrinted>
  <dcterms:created xsi:type="dcterms:W3CDTF">2024-06-05T11:40:00Z</dcterms:created>
  <dcterms:modified xsi:type="dcterms:W3CDTF">2024-06-06T13:44:00Z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0x0101004A36193B1DFBA34DB48E8A44B1321AFF</vt:lpwstr>
  </property>
</Properties>
</file>