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3741" w14:textId="77777777" w:rsidR="00B90346" w:rsidRPr="00B90346" w:rsidRDefault="00B90346" w:rsidP="00B90346">
      <w:pPr>
        <w:jc w:val="center"/>
        <w:rPr>
          <w:rStyle w:val="Lienhypertexte"/>
          <w:b/>
          <w:color w:val="auto"/>
          <w:u w:val="none"/>
        </w:rPr>
      </w:pPr>
      <w:r w:rsidRPr="00B90346">
        <w:rPr>
          <w:rStyle w:val="Lienhypertexte"/>
          <w:b/>
          <w:color w:val="auto"/>
          <w:u w:val="none"/>
        </w:rPr>
        <w:t>Fiche n° 13</w:t>
      </w:r>
    </w:p>
    <w:p w14:paraId="3CF79A05" w14:textId="77777777" w:rsidR="007065D5" w:rsidRPr="003B433B" w:rsidRDefault="007065D5" w:rsidP="003B433B">
      <w:pPr>
        <w:pStyle w:val="Titre"/>
        <w:jc w:val="center"/>
        <w:rPr>
          <w:rStyle w:val="Lienhypertexte"/>
          <w:color w:val="632B8D"/>
          <w:u w:val="none"/>
        </w:rPr>
      </w:pPr>
      <w:r w:rsidRPr="003B433B">
        <w:rPr>
          <w:rStyle w:val="Lienhypertexte"/>
          <w:color w:val="632B8D"/>
          <w:u w:val="none"/>
        </w:rPr>
        <w:t>PCH et APA</w:t>
      </w:r>
    </w:p>
    <w:p w14:paraId="05A9F4EA" w14:textId="46D7008F" w:rsidR="00B90346" w:rsidRPr="007F1CFF" w:rsidRDefault="00522A10" w:rsidP="007F1CFF">
      <w:pPr>
        <w:ind w:left="0"/>
        <w:jc w:val="center"/>
        <w:rPr>
          <w:b/>
        </w:rPr>
      </w:pPr>
      <w:r>
        <w:rPr>
          <w:b/>
        </w:rPr>
        <w:t>01</w:t>
      </w:r>
      <w:r w:rsidR="00374C62">
        <w:rPr>
          <w:b/>
        </w:rPr>
        <w:t>/</w:t>
      </w:r>
      <w:r>
        <w:rPr>
          <w:b/>
        </w:rPr>
        <w:t>11/24</w:t>
      </w:r>
    </w:p>
    <w:p w14:paraId="64255C58" w14:textId="77777777" w:rsidR="007065D5" w:rsidRDefault="007065D5" w:rsidP="007065D5">
      <w:pPr>
        <w:ind w:left="0"/>
        <w:jc w:val="both"/>
      </w:pPr>
      <w:r w:rsidRPr="007065D5">
        <w:rPr>
          <w:rStyle w:val="lev"/>
        </w:rPr>
        <w:t>L’Allocation Personnalisée d’Autonomie</w:t>
      </w:r>
      <w:r>
        <w:t xml:space="preserve"> (</w:t>
      </w:r>
      <w:r w:rsidRPr="007065D5">
        <w:rPr>
          <w:rStyle w:val="lev"/>
        </w:rPr>
        <w:t>APA</w:t>
      </w:r>
      <w:r>
        <w:t xml:space="preserve">), entrée en vigueur le 1er janvier 2002, s’adresse </w:t>
      </w:r>
      <w:r w:rsidRPr="0026409F">
        <w:rPr>
          <w:u w:val="single"/>
        </w:rPr>
        <w:t>aux personnes âgées de 60 ans ou plus</w:t>
      </w:r>
      <w:r>
        <w:t xml:space="preserve"> résidant à domicile ou en établissement confrontées à </w:t>
      </w:r>
      <w:r w:rsidRPr="0026409F">
        <w:rPr>
          <w:u w:val="single"/>
        </w:rPr>
        <w:t>des situations de perte d’autonomie</w:t>
      </w:r>
      <w:r>
        <w:t xml:space="preserve"> dont le niveau de dépendance est évalué en GIR 1 à 4.</w:t>
      </w:r>
    </w:p>
    <w:p w14:paraId="08549AAB" w14:textId="77777777" w:rsidR="007065D5" w:rsidRDefault="007065D5" w:rsidP="007065D5">
      <w:pPr>
        <w:ind w:left="0"/>
        <w:jc w:val="both"/>
      </w:pPr>
      <w:bookmarkStart w:id="0" w:name="_Hlk182842324"/>
      <w:r>
        <w:t>(Les personnes classées en Gir 5 ou 6 peuvent néanmoins demander une aide-ménagère)</w:t>
      </w:r>
    </w:p>
    <w:bookmarkEnd w:id="0"/>
    <w:p w14:paraId="30BE3C3B" w14:textId="77777777" w:rsidR="007065D5" w:rsidRDefault="007065D5" w:rsidP="007065D5">
      <w:pPr>
        <w:ind w:left="0"/>
        <w:jc w:val="both"/>
      </w:pPr>
    </w:p>
    <w:p w14:paraId="0D19806C" w14:textId="77777777" w:rsidR="007065D5" w:rsidRDefault="007065D5" w:rsidP="007065D5">
      <w:pPr>
        <w:ind w:left="0"/>
        <w:jc w:val="both"/>
      </w:pPr>
      <w:r w:rsidRPr="007065D5">
        <w:rPr>
          <w:rStyle w:val="lev"/>
        </w:rPr>
        <w:t>La Prestation de Compensation du Handicap</w:t>
      </w:r>
      <w:r>
        <w:t xml:space="preserve"> (</w:t>
      </w:r>
      <w:r w:rsidRPr="007065D5">
        <w:rPr>
          <w:rStyle w:val="lev"/>
        </w:rPr>
        <w:t>PCH</w:t>
      </w:r>
      <w:r>
        <w:t xml:space="preserve">) entrée en vigueur le 1er janvier 2006, consiste à répondre, jusqu’à la fin de leur vie, aux besoins des personnes devenues handicapées </w:t>
      </w:r>
      <w:r w:rsidRPr="0026409F">
        <w:rPr>
          <w:u w:val="single"/>
        </w:rPr>
        <w:t>avant l’âge de 60 ans en principe (sauf dérogations)</w:t>
      </w:r>
      <w:r>
        <w:t xml:space="preserve">, qu’il s’agisse </w:t>
      </w:r>
      <w:r w:rsidRPr="0026409F">
        <w:rPr>
          <w:u w:val="single"/>
        </w:rPr>
        <w:t>de l’insertion professionnelle, des  aménagements du domicile ou du cadre de travail nécessaires au plein exercice de leur citoyenneté et de leur capacité d’autonomie, par le développement ou l’aménagement de l’offre de services, l’octroi d’aides de toute nature à la personne ou aux institutions pour vivre en milieu ordinaire adapté.</w:t>
      </w:r>
      <w:r>
        <w:t xml:space="preserve"> La PCH peut ainsi être affectée </w:t>
      </w:r>
      <w:r w:rsidRPr="0026409F">
        <w:rPr>
          <w:u w:val="single"/>
        </w:rPr>
        <w:t>à la prise en charge des besoins d’aides humaines et techniques, d’aides animalières, d’aides à l’aménagement du logement ou du véhicule de la personne handicapée, ainsi qu’à ses dépenses spécifiques et exceptionnelles.</w:t>
      </w:r>
    </w:p>
    <w:p w14:paraId="266072AC" w14:textId="77777777" w:rsidR="007065D5" w:rsidRDefault="007065D5" w:rsidP="007065D5">
      <w:pPr>
        <w:ind w:left="0"/>
        <w:jc w:val="both"/>
      </w:pPr>
    </w:p>
    <w:p w14:paraId="5D1BF63E" w14:textId="52560861" w:rsidR="007065D5" w:rsidRDefault="007065D5" w:rsidP="007065D5">
      <w:pPr>
        <w:ind w:left="0"/>
        <w:jc w:val="both"/>
      </w:pPr>
      <w:r>
        <w:t>Or, l’article 13 de la loi du 11 février 2005 prévoit que la distinction entre les personnes handicapées en fonction de critères d'âge en matière de compensation du handicap et de prise en charge des frais d'hébergement en établissements sociaux et médico-sociaux doit être supprimée d</w:t>
      </w:r>
      <w:r w:rsidR="0026409F">
        <w:t>ans les 5 ans (soit</w:t>
      </w:r>
      <w:r>
        <w:t xml:space="preserve"> </w:t>
      </w:r>
      <w:r w:rsidR="0026409F">
        <w:t xml:space="preserve">en </w:t>
      </w:r>
      <w:r>
        <w:t>2010</w:t>
      </w:r>
      <w:r w:rsidR="0026409F">
        <w:t>)</w:t>
      </w:r>
      <w:r>
        <w:t>. Autrement dit, les personnes dont le handicap serait survenu après 60 ans devraient pouvoir opter pour la PCH sans limite d’âge.</w:t>
      </w:r>
    </w:p>
    <w:p w14:paraId="05AE1459" w14:textId="3041A317" w:rsidR="007065D5" w:rsidRDefault="007E5093" w:rsidP="007065D5">
      <w:pPr>
        <w:ind w:left="0"/>
        <w:jc w:val="both"/>
      </w:pPr>
      <w:r>
        <w:t>En l’absence à ce jour d’un</w:t>
      </w:r>
      <w:r w:rsidR="007065D5">
        <w:t xml:space="preserve"> décret d’application</w:t>
      </w:r>
      <w:r>
        <w:t xml:space="preserve"> allant dans ce sens</w:t>
      </w:r>
      <w:r w:rsidR="007065D5">
        <w:t>, nous nous proposons à travers cette fiche de comparer les deux allocations, étant établi que la PCH reste l</w:t>
      </w:r>
      <w:r w:rsidR="00B17516">
        <w:t>a</w:t>
      </w:r>
      <w:r w:rsidR="007065D5">
        <w:t xml:space="preserve"> plus favorable pour les personnes déficientes visuelles.</w:t>
      </w:r>
    </w:p>
    <w:p w14:paraId="024F50E2" w14:textId="77777777" w:rsidR="007065D5" w:rsidRDefault="007065D5" w:rsidP="007065D5">
      <w:pPr>
        <w:pStyle w:val="Titre1"/>
      </w:pPr>
      <w:r>
        <w:lastRenderedPageBreak/>
        <w:t>CONDITIONS D’ATTRIBUTION</w:t>
      </w:r>
    </w:p>
    <w:p w14:paraId="37DEAA92" w14:textId="77777777" w:rsidR="007065D5" w:rsidRDefault="007065D5" w:rsidP="007065D5">
      <w:pPr>
        <w:pStyle w:val="Titre2"/>
      </w:pPr>
      <w:r>
        <w:t xml:space="preserve">Condition d’âge </w:t>
      </w:r>
    </w:p>
    <w:p w14:paraId="74426CEB" w14:textId="77777777" w:rsidR="007065D5" w:rsidRDefault="007065D5" w:rsidP="007065D5">
      <w:pPr>
        <w:pStyle w:val="Paragraphedeliste"/>
        <w:numPr>
          <w:ilvl w:val="0"/>
          <w:numId w:val="21"/>
        </w:numPr>
        <w:jc w:val="both"/>
      </w:pPr>
      <w:r>
        <w:t>PCH</w:t>
      </w:r>
    </w:p>
    <w:p w14:paraId="335967F6" w14:textId="6929AE9A" w:rsidR="007065D5" w:rsidRDefault="008353EC" w:rsidP="007065D5">
      <w:pPr>
        <w:ind w:left="0"/>
        <w:jc w:val="both"/>
      </w:pPr>
      <w:r>
        <w:t>La demande doit avoir lieu avant</w:t>
      </w:r>
      <w:r w:rsidR="007065D5">
        <w:t xml:space="preserve"> 60 ans. Mais </w:t>
      </w:r>
      <w:r w:rsidR="00D937C2">
        <w:t>2</w:t>
      </w:r>
      <w:r w:rsidR="007065D5">
        <w:t xml:space="preserve"> dérogations d’âge au-delà de 60 ans sont prévues :</w:t>
      </w:r>
    </w:p>
    <w:p w14:paraId="066EB53E" w14:textId="77777777" w:rsidR="007065D5" w:rsidRDefault="007065D5" w:rsidP="007065D5">
      <w:pPr>
        <w:pStyle w:val="Paragraphedeliste"/>
        <w:numPr>
          <w:ilvl w:val="0"/>
          <w:numId w:val="22"/>
        </w:numPr>
        <w:jc w:val="both"/>
      </w:pPr>
      <w:r>
        <w:t>Les personnes qui travaillent peuvent demander à bénéficier de la Prestation de Compensation, sans limite d’âge, même après 60 ans, sans qu’elles soient tenues de justifier de l’existence d’un handicap avant 60 ans.</w:t>
      </w:r>
    </w:p>
    <w:p w14:paraId="33C2A965" w14:textId="6CA54F4A" w:rsidR="00ED1911" w:rsidRPr="00ED1911" w:rsidRDefault="00ED1911" w:rsidP="00ED1911">
      <w:pPr>
        <w:pStyle w:val="Paragraphedeliste"/>
        <w:numPr>
          <w:ilvl w:val="0"/>
          <w:numId w:val="22"/>
        </w:numPr>
      </w:pPr>
      <w:r w:rsidRPr="00ED1911">
        <w:t xml:space="preserve">Les personnes dont le handicap répondait aux critères d’éligibilité à la PCH avant l’âge de 60 ans. </w:t>
      </w:r>
    </w:p>
    <w:p w14:paraId="0A596885" w14:textId="77777777" w:rsidR="007065D5" w:rsidRDefault="007065D5" w:rsidP="007065D5">
      <w:pPr>
        <w:pStyle w:val="Paragraphedeliste"/>
        <w:numPr>
          <w:ilvl w:val="0"/>
          <w:numId w:val="21"/>
        </w:numPr>
        <w:jc w:val="both"/>
      </w:pPr>
      <w:r>
        <w:t>APA</w:t>
      </w:r>
    </w:p>
    <w:p w14:paraId="230B6599" w14:textId="77777777" w:rsidR="007065D5" w:rsidRDefault="007065D5" w:rsidP="007065D5">
      <w:pPr>
        <w:ind w:left="0"/>
        <w:jc w:val="both"/>
      </w:pPr>
      <w:r>
        <w:t>Avoir au moins 60 ans.</w:t>
      </w:r>
    </w:p>
    <w:p w14:paraId="17A0A029" w14:textId="211306DF" w:rsidR="008E605F" w:rsidRPr="008E605F" w:rsidRDefault="008E605F" w:rsidP="007065D5">
      <w:pPr>
        <w:ind w:left="0"/>
        <w:jc w:val="both"/>
        <w:rPr>
          <w:b/>
          <w:bCs/>
          <w:u w:val="single"/>
        </w:rPr>
      </w:pPr>
      <w:r>
        <w:rPr>
          <w:b/>
          <w:bCs/>
          <w:u w:val="single"/>
        </w:rPr>
        <w:t>En conséquence, l</w:t>
      </w:r>
      <w:r w:rsidRPr="008E605F">
        <w:rPr>
          <w:b/>
          <w:bCs/>
          <w:u w:val="single"/>
        </w:rPr>
        <w:t>es personnes dont le handicap est survenu après 60 ans</w:t>
      </w:r>
      <w:r>
        <w:rPr>
          <w:b/>
          <w:bCs/>
          <w:u w:val="single"/>
        </w:rPr>
        <w:t xml:space="preserve"> alors qu’elles</w:t>
      </w:r>
      <w:r w:rsidRPr="008E605F">
        <w:rPr>
          <w:b/>
          <w:bCs/>
          <w:u w:val="single"/>
        </w:rPr>
        <w:t xml:space="preserve"> n</w:t>
      </w:r>
      <w:r>
        <w:rPr>
          <w:b/>
          <w:bCs/>
          <w:u w:val="single"/>
        </w:rPr>
        <w:t>’exercent pas ou  plus d’activité professionnelle,</w:t>
      </w:r>
      <w:r w:rsidRPr="008E605F">
        <w:rPr>
          <w:b/>
          <w:bCs/>
          <w:u w:val="single"/>
        </w:rPr>
        <w:t xml:space="preserve"> sont privées de la PCH, et doivent par conséquent faire une demande d’APA.</w:t>
      </w:r>
    </w:p>
    <w:p w14:paraId="074569AA" w14:textId="77777777" w:rsidR="007065D5" w:rsidRPr="007065D5" w:rsidRDefault="007065D5" w:rsidP="007065D5">
      <w:pPr>
        <w:pStyle w:val="Titre2"/>
      </w:pPr>
      <w:r w:rsidRPr="007065D5">
        <w:t xml:space="preserve">Condition de résidence </w:t>
      </w:r>
    </w:p>
    <w:p w14:paraId="0CF35263" w14:textId="77777777" w:rsidR="007065D5" w:rsidRDefault="007065D5" w:rsidP="007E7F58">
      <w:pPr>
        <w:pStyle w:val="Paragraphedeliste"/>
        <w:numPr>
          <w:ilvl w:val="0"/>
          <w:numId w:val="23"/>
        </w:numPr>
        <w:jc w:val="both"/>
      </w:pPr>
      <w:r>
        <w:t>PCH et APA</w:t>
      </w:r>
    </w:p>
    <w:p w14:paraId="6DAC5935" w14:textId="77777777" w:rsidR="007065D5" w:rsidRDefault="007065D5" w:rsidP="007065D5">
      <w:pPr>
        <w:ind w:left="0"/>
        <w:jc w:val="both"/>
      </w:pPr>
      <w:r>
        <w:t>Résider de façon stable et régulière en France (métropole, DOM, Saint-Pierre-et-Miquelon). Les perso</w:t>
      </w:r>
      <w:r w:rsidR="007E7F58">
        <w:t>nnes de nationalité étrangère (</w:t>
      </w:r>
      <w:r>
        <w:t>hors ressortissants CE) doivent être en situation régulière en France : justifier d’une carte de r</w:t>
      </w:r>
      <w:r w:rsidR="007E7F58">
        <w:t>ésident ou d’un titre de séjour</w:t>
      </w:r>
      <w:r w:rsidR="007E5093">
        <w:t>.</w:t>
      </w:r>
    </w:p>
    <w:p w14:paraId="2BD5244B" w14:textId="77777777" w:rsidR="007065D5" w:rsidRDefault="007065D5" w:rsidP="007E7F58">
      <w:pPr>
        <w:pStyle w:val="Titre2"/>
      </w:pPr>
      <w:r>
        <w:t xml:space="preserve">Condition liée à l’évaluation du handicap </w:t>
      </w:r>
    </w:p>
    <w:p w14:paraId="2ADE1642" w14:textId="77777777" w:rsidR="007065D5" w:rsidRDefault="007065D5" w:rsidP="007E7F58">
      <w:pPr>
        <w:pStyle w:val="Paragraphedeliste"/>
        <w:numPr>
          <w:ilvl w:val="0"/>
          <w:numId w:val="24"/>
        </w:numPr>
        <w:jc w:val="both"/>
      </w:pPr>
      <w:r>
        <w:t>PCH</w:t>
      </w:r>
    </w:p>
    <w:p w14:paraId="2508A09E" w14:textId="77777777" w:rsidR="007065D5" w:rsidRDefault="007065D5" w:rsidP="007065D5">
      <w:pPr>
        <w:ind w:left="0"/>
        <w:jc w:val="both"/>
      </w:pPr>
      <w:r>
        <w:t xml:space="preserve">Présenter une difficulté absolue (lorsque </w:t>
      </w:r>
      <w:r w:rsidR="007E7F58">
        <w:t>l’activité ne peut pas du tout être réalisée</w:t>
      </w:r>
      <w:r>
        <w:t xml:space="preserve"> par la personne elle-même) à la réalisation d’une activité essentielle de la vie quotidie</w:t>
      </w:r>
      <w:r w:rsidR="000E28CA">
        <w:t>nne (ex : se laver, se déplace</w:t>
      </w:r>
      <w:r w:rsidR="00472ED6">
        <w:t>r</w:t>
      </w:r>
      <w:r w:rsidR="000E28CA">
        <w:t xml:space="preserve"> (</w:t>
      </w:r>
      <w:r>
        <w:t xml:space="preserve">voir liste détaillée dans annexe 2-5 du CASF) ou une difficulté grave (lorsque </w:t>
      </w:r>
      <w:r>
        <w:lastRenderedPageBreak/>
        <w:t>l’activité est réalisée difficilement et de façon altérée par rapport à l’activité habituellement réalisée</w:t>
      </w:r>
      <w:r w:rsidR="007E7F58">
        <w:t>) pour au moins deux activités.</w:t>
      </w:r>
    </w:p>
    <w:p w14:paraId="5706A18B" w14:textId="77777777" w:rsidR="007065D5" w:rsidRDefault="007065D5" w:rsidP="00136490">
      <w:pPr>
        <w:pStyle w:val="Paragraphedeliste"/>
        <w:numPr>
          <w:ilvl w:val="0"/>
          <w:numId w:val="24"/>
        </w:numPr>
        <w:jc w:val="both"/>
      </w:pPr>
      <w:r>
        <w:t>APA</w:t>
      </w:r>
    </w:p>
    <w:p w14:paraId="34702AA9" w14:textId="3E1659F8" w:rsidR="007E7F58" w:rsidRDefault="007065D5" w:rsidP="007065D5">
      <w:pPr>
        <w:ind w:left="0"/>
        <w:jc w:val="both"/>
      </w:pPr>
      <w:r>
        <w:t>Etre en perte d’autonomie. On considère qu’il y a perte d’autonomie lorsqu’une personne a besoin d’une assistance pour accomplir les actes essentiels de la vie courante : se laver, se nourrir …Il peut s’agir aussi de personnes dont l’état de santé nécessite une surveillance régulière. Le degré de perte d’autonomie est évalué à partir de la grille nationale AGGIR. Cette évaluation consiste à apprécier si le demandeur fait ou non partie des groupes GIR 1 à 4 qu</w:t>
      </w:r>
      <w:r w:rsidR="007E7F58">
        <w:t>i seuls, ouvrent droit à l’APA.</w:t>
      </w:r>
      <w:r w:rsidR="00B17516" w:rsidRPr="00B17516">
        <w:t xml:space="preserve"> (Les personnes classées en Gir 5 ou 6 peuvent néanmoins demander une aide-ménagère)</w:t>
      </w:r>
      <w:r w:rsidR="00B17516">
        <w:t>.</w:t>
      </w:r>
    </w:p>
    <w:p w14:paraId="4E217514" w14:textId="77777777" w:rsidR="00E326D3" w:rsidRPr="00E326D3" w:rsidRDefault="00E326D3" w:rsidP="00E326D3">
      <w:pPr>
        <w:pStyle w:val="Lgende"/>
        <w:keepNext/>
        <w:rPr>
          <w:sz w:val="28"/>
          <w:szCs w:val="28"/>
        </w:rPr>
      </w:pPr>
      <w:r w:rsidRPr="00E326D3">
        <w:rPr>
          <w:sz w:val="28"/>
          <w:szCs w:val="28"/>
        </w:rPr>
        <w:t xml:space="preserve">Tableau </w:t>
      </w:r>
      <w:r w:rsidRPr="00E326D3">
        <w:rPr>
          <w:sz w:val="28"/>
          <w:szCs w:val="28"/>
        </w:rPr>
        <w:fldChar w:fldCharType="begin"/>
      </w:r>
      <w:r w:rsidRPr="00E326D3">
        <w:rPr>
          <w:sz w:val="28"/>
          <w:szCs w:val="28"/>
        </w:rPr>
        <w:instrText xml:space="preserve"> SEQ Tableau \* ARABIC </w:instrText>
      </w:r>
      <w:r w:rsidRPr="00E326D3">
        <w:rPr>
          <w:sz w:val="28"/>
          <w:szCs w:val="28"/>
        </w:rPr>
        <w:fldChar w:fldCharType="separate"/>
      </w:r>
      <w:r w:rsidR="000D0352">
        <w:rPr>
          <w:noProof/>
          <w:sz w:val="28"/>
          <w:szCs w:val="28"/>
        </w:rPr>
        <w:t>1</w:t>
      </w:r>
      <w:r w:rsidRPr="00E326D3">
        <w:rPr>
          <w:sz w:val="28"/>
          <w:szCs w:val="28"/>
        </w:rPr>
        <w:fldChar w:fldCharType="end"/>
      </w:r>
      <w:r w:rsidRPr="00E326D3">
        <w:rPr>
          <w:sz w:val="28"/>
          <w:szCs w:val="28"/>
        </w:rPr>
        <w:t xml:space="preserve"> GRILLE NATIONALE AGGIR</w:t>
      </w:r>
    </w:p>
    <w:tbl>
      <w:tblPr>
        <w:tblStyle w:val="Grilleclaire-Accent6"/>
        <w:tblW w:w="9606" w:type="dxa"/>
        <w:tblLook w:val="04A0" w:firstRow="1" w:lastRow="0" w:firstColumn="1" w:lastColumn="0" w:noHBand="0" w:noVBand="1"/>
      </w:tblPr>
      <w:tblGrid>
        <w:gridCol w:w="1101"/>
        <w:gridCol w:w="8505"/>
      </w:tblGrid>
      <w:tr w:rsidR="00E326D3" w:rsidRPr="00E46441" w14:paraId="7B6FB7A9" w14:textId="77777777" w:rsidTr="00C345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4955861" w14:textId="77777777" w:rsidR="00E326D3" w:rsidRPr="00C345EA" w:rsidRDefault="00E326D3" w:rsidP="00E326D3">
            <w:pPr>
              <w:ind w:left="0"/>
              <w:jc w:val="center"/>
            </w:pPr>
            <w:r w:rsidRPr="00C345EA">
              <w:t>GIR 1</w:t>
            </w:r>
          </w:p>
        </w:tc>
        <w:tc>
          <w:tcPr>
            <w:tcW w:w="8505" w:type="dxa"/>
          </w:tcPr>
          <w:p w14:paraId="206C7275" w14:textId="77777777" w:rsidR="00E326D3" w:rsidRPr="00C345EA" w:rsidRDefault="00E326D3" w:rsidP="00BC5AAA">
            <w:pPr>
              <w:ind w:left="0"/>
              <w:jc w:val="both"/>
              <w:cnfStyle w:val="100000000000" w:firstRow="1" w:lastRow="0" w:firstColumn="0" w:lastColumn="0" w:oddVBand="0" w:evenVBand="0" w:oddHBand="0" w:evenHBand="0" w:firstRowFirstColumn="0" w:firstRowLastColumn="0" w:lastRowFirstColumn="0" w:lastRowLastColumn="0"/>
              <w:rPr>
                <w:b w:val="0"/>
              </w:rPr>
            </w:pPr>
            <w:r w:rsidRPr="00C345EA">
              <w:rPr>
                <w:b w:val="0"/>
              </w:rPr>
              <w:t>Comprend les personnes confinées au lit ou au fauteuil ayant perdu leur autonomie mentale, corporelle, locomotrice, et sociale, qui nécessitant une présence indispensable et continue d’intervenants.</w:t>
            </w:r>
          </w:p>
        </w:tc>
      </w:tr>
      <w:tr w:rsidR="00E326D3" w:rsidRPr="00E46441" w14:paraId="1548411A" w14:textId="77777777" w:rsidTr="00C3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7E5C157" w14:textId="77777777" w:rsidR="00E326D3" w:rsidRPr="00C345EA" w:rsidRDefault="00E326D3" w:rsidP="00E326D3">
            <w:pPr>
              <w:ind w:left="0"/>
              <w:jc w:val="center"/>
            </w:pPr>
            <w:r w:rsidRPr="00C345EA">
              <w:t>GIR 2</w:t>
            </w:r>
          </w:p>
        </w:tc>
        <w:tc>
          <w:tcPr>
            <w:tcW w:w="8505" w:type="dxa"/>
          </w:tcPr>
          <w:p w14:paraId="1436CC4C" w14:textId="77777777" w:rsidR="00E326D3" w:rsidRPr="00C345EA" w:rsidRDefault="00E326D3" w:rsidP="00BC5AAA">
            <w:pPr>
              <w:ind w:left="0"/>
              <w:jc w:val="both"/>
              <w:cnfStyle w:val="000000100000" w:firstRow="0" w:lastRow="0" w:firstColumn="0" w:lastColumn="0" w:oddVBand="0" w:evenVBand="0" w:oddHBand="1" w:evenHBand="0" w:firstRowFirstColumn="0" w:firstRowLastColumn="0" w:lastRowFirstColumn="0" w:lastRowLastColumn="0"/>
            </w:pPr>
            <w:r w:rsidRPr="00C345EA">
              <w:t>Comprend les personnes de 2 sous-groupes : d’une part, les personnes confinées au lit dont les fonctions mentales ne sont pas complètement altérées et qui nécessitent une prise en charge pour la plupart des activités de la vie courante ; d’autre part, celles dont les fonctions mentales sont altérées mais qui ont conservé leurs capacités motrices. Le déplacement à l’intérieur est possible mais la toilette et l’habillage ne sont pas faits ou partiellement.</w:t>
            </w:r>
          </w:p>
        </w:tc>
      </w:tr>
      <w:tr w:rsidR="00E326D3" w:rsidRPr="00E46441" w14:paraId="346000F3" w14:textId="77777777" w:rsidTr="00C345E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FF62C7C" w14:textId="77777777" w:rsidR="00E326D3" w:rsidRPr="00C345EA" w:rsidRDefault="00E326D3" w:rsidP="00E326D3">
            <w:pPr>
              <w:ind w:left="0"/>
              <w:jc w:val="center"/>
            </w:pPr>
            <w:r w:rsidRPr="00C345EA">
              <w:t>GIR 3</w:t>
            </w:r>
          </w:p>
        </w:tc>
        <w:tc>
          <w:tcPr>
            <w:tcW w:w="8505" w:type="dxa"/>
          </w:tcPr>
          <w:p w14:paraId="721540B3" w14:textId="77777777" w:rsidR="00E326D3" w:rsidRPr="00C345EA" w:rsidRDefault="00E326D3" w:rsidP="00BC5AAA">
            <w:pPr>
              <w:ind w:left="0"/>
              <w:jc w:val="both"/>
              <w:cnfStyle w:val="000000010000" w:firstRow="0" w:lastRow="0" w:firstColumn="0" w:lastColumn="0" w:oddVBand="0" w:evenVBand="0" w:oddHBand="0" w:evenHBand="1" w:firstRowFirstColumn="0" w:firstRowLastColumn="0" w:lastRowFirstColumn="0" w:lastRowLastColumn="0"/>
            </w:pPr>
            <w:r w:rsidRPr="00C345EA">
              <w:t>Comprend les personnes ayant conservé leur autonomie mentale, partiellement leur autonomie locomotrice, mais qui nécessitent quotidiennement et plusieurs fois par jour des aides pour leur autonomie corporelle. De plus, l’hygiène de l’élimination nécessite l’aide d’une tierce personne.</w:t>
            </w:r>
          </w:p>
        </w:tc>
      </w:tr>
      <w:tr w:rsidR="00E326D3" w:rsidRPr="00E46441" w14:paraId="523EAC2B" w14:textId="77777777" w:rsidTr="00C3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62112FBC" w14:textId="77777777" w:rsidR="00E326D3" w:rsidRPr="00C345EA" w:rsidRDefault="00E326D3" w:rsidP="00E326D3">
            <w:pPr>
              <w:ind w:left="0"/>
              <w:jc w:val="center"/>
            </w:pPr>
            <w:r w:rsidRPr="00C345EA">
              <w:t>GIR 4</w:t>
            </w:r>
          </w:p>
        </w:tc>
        <w:tc>
          <w:tcPr>
            <w:tcW w:w="8505" w:type="dxa"/>
          </w:tcPr>
          <w:p w14:paraId="486127BF" w14:textId="77777777" w:rsidR="00E326D3" w:rsidRPr="00C345EA" w:rsidRDefault="00E326D3" w:rsidP="00BC5AAA">
            <w:pPr>
              <w:ind w:left="0"/>
              <w:jc w:val="both"/>
              <w:cnfStyle w:val="000000100000" w:firstRow="0" w:lastRow="0" w:firstColumn="0" w:lastColumn="0" w:oddVBand="0" w:evenVBand="0" w:oddHBand="1" w:evenHBand="0" w:firstRowFirstColumn="0" w:firstRowLastColumn="0" w:lastRowFirstColumn="0" w:lastRowLastColumn="0"/>
            </w:pPr>
            <w:r w:rsidRPr="00C345EA">
              <w:t>Comprend les personnes qui n’assument pas seules leur transfert mais, qui une fois levées, peuvent se déplacer à l’intérieur du logement. Elles doivent être aidées pour la toilette et l’habillage. La plupart s’alimentent seules ; ce groupe comprend aussi des personnes sans problème de locomotion mais qu’il faut aider pour les activités corporelles et les repas.</w:t>
            </w:r>
          </w:p>
        </w:tc>
      </w:tr>
    </w:tbl>
    <w:p w14:paraId="495FC909" w14:textId="50CDA473" w:rsidR="009F33E1" w:rsidRDefault="009F33E1" w:rsidP="00045997">
      <w:pPr>
        <w:ind w:left="0"/>
        <w:jc w:val="both"/>
        <w:rPr>
          <w:b/>
          <w:bCs/>
          <w:u w:val="single"/>
        </w:rPr>
      </w:pPr>
      <w:r w:rsidRPr="00B17516">
        <w:rPr>
          <w:b/>
          <w:bCs/>
          <w:u w:val="single"/>
        </w:rPr>
        <w:lastRenderedPageBreak/>
        <w:t>Il ressort que les personnes déficientes visuelles sont majoritairement classées en GIR 4 à moins d’être atteint</w:t>
      </w:r>
      <w:r w:rsidR="00B17516">
        <w:rPr>
          <w:b/>
          <w:bCs/>
          <w:u w:val="single"/>
        </w:rPr>
        <w:t>e</w:t>
      </w:r>
      <w:r w:rsidRPr="00B17516">
        <w:rPr>
          <w:b/>
          <w:bCs/>
          <w:u w:val="single"/>
        </w:rPr>
        <w:t>s par d’autres handicaps.</w:t>
      </w:r>
    </w:p>
    <w:p w14:paraId="2C1103B9" w14:textId="77777777" w:rsidR="00A96F92" w:rsidRDefault="00A96F92" w:rsidP="00045997">
      <w:pPr>
        <w:ind w:left="0"/>
        <w:jc w:val="both"/>
        <w:rPr>
          <w:b/>
          <w:bCs/>
          <w:u w:val="single"/>
        </w:rPr>
      </w:pPr>
    </w:p>
    <w:p w14:paraId="1445B70E" w14:textId="77777777" w:rsidR="0074041A" w:rsidRPr="00B17516" w:rsidRDefault="0074041A" w:rsidP="00045997">
      <w:pPr>
        <w:ind w:left="0"/>
        <w:jc w:val="both"/>
        <w:rPr>
          <w:b/>
          <w:bCs/>
          <w:u w:val="single"/>
        </w:rPr>
      </w:pPr>
    </w:p>
    <w:p w14:paraId="7AB028D2" w14:textId="77777777" w:rsidR="009F33E1" w:rsidRDefault="009F33E1" w:rsidP="00045997">
      <w:pPr>
        <w:pStyle w:val="Titre2"/>
        <w:jc w:val="both"/>
      </w:pPr>
      <w:r>
        <w:t>Condition de ressources</w:t>
      </w:r>
    </w:p>
    <w:p w14:paraId="531AF63A" w14:textId="77777777" w:rsidR="009F33E1" w:rsidRDefault="009F33E1" w:rsidP="00045997">
      <w:pPr>
        <w:pStyle w:val="Paragraphedeliste"/>
        <w:numPr>
          <w:ilvl w:val="0"/>
          <w:numId w:val="27"/>
        </w:numPr>
        <w:jc w:val="both"/>
      </w:pPr>
      <w:r>
        <w:t>PCH</w:t>
      </w:r>
    </w:p>
    <w:p w14:paraId="4C64E550" w14:textId="77777777" w:rsidR="009F33E1" w:rsidRDefault="009F33E1" w:rsidP="00045997">
      <w:pPr>
        <w:ind w:left="0"/>
        <w:jc w:val="both"/>
      </w:pPr>
      <w:r>
        <w:t>Le taux de prise en charge est fixé à :</w:t>
      </w:r>
    </w:p>
    <w:p w14:paraId="55BE0A86" w14:textId="489AC633" w:rsidR="007F3FF9" w:rsidRDefault="009F33E1" w:rsidP="00045997">
      <w:pPr>
        <w:pStyle w:val="Paragraphedeliste"/>
        <w:numPr>
          <w:ilvl w:val="0"/>
          <w:numId w:val="25"/>
        </w:numPr>
        <w:jc w:val="both"/>
      </w:pPr>
      <w:r>
        <w:t>100 % si les ressources mensuelles de la personne handicapée sont inférieures ou égal</w:t>
      </w:r>
      <w:r w:rsidR="007E5093">
        <w:t>es à deux fois le montant</w:t>
      </w:r>
      <w:r>
        <w:t xml:space="preserve"> de la majorat</w:t>
      </w:r>
      <w:r w:rsidR="007F3FF9">
        <w:t xml:space="preserve">ion pour tierce personne, soit </w:t>
      </w:r>
      <w:r w:rsidR="00A36728">
        <w:t>2</w:t>
      </w:r>
      <w:r w:rsidR="009F2351">
        <w:t>533,20</w:t>
      </w:r>
      <w:r w:rsidR="00A36728">
        <w:t xml:space="preserve"> </w:t>
      </w:r>
      <w:r>
        <w:t>€.</w:t>
      </w:r>
    </w:p>
    <w:p w14:paraId="76A6960F" w14:textId="44FB1B8A" w:rsidR="009F33E1" w:rsidRDefault="009F33E1" w:rsidP="00045997">
      <w:pPr>
        <w:pStyle w:val="Paragraphedeliste"/>
        <w:numPr>
          <w:ilvl w:val="0"/>
          <w:numId w:val="25"/>
        </w:numPr>
        <w:jc w:val="both"/>
      </w:pPr>
      <w:r>
        <w:t>80 % si les ressources mensuelles de la personne handicapée sont supérieure</w:t>
      </w:r>
      <w:r w:rsidR="007E5093">
        <w:t xml:space="preserve">s à deux fois le montant </w:t>
      </w:r>
      <w:r>
        <w:t>de la majoration p</w:t>
      </w:r>
      <w:r w:rsidR="00912F93">
        <w:t>our tierce personne, soit 2</w:t>
      </w:r>
      <w:r w:rsidR="009F2351">
        <w:t>533</w:t>
      </w:r>
      <w:r w:rsidR="00912F93">
        <w:t>,</w:t>
      </w:r>
      <w:r w:rsidR="00990256">
        <w:t>2</w:t>
      </w:r>
      <w:r w:rsidR="009F2351">
        <w:t>0</w:t>
      </w:r>
      <w:r>
        <w:t xml:space="preserve"> €.</w:t>
      </w:r>
    </w:p>
    <w:p w14:paraId="6FD7C66A" w14:textId="77777777" w:rsidR="007F3FF9" w:rsidRDefault="009F33E1" w:rsidP="00045997">
      <w:pPr>
        <w:ind w:left="0"/>
        <w:jc w:val="both"/>
      </w:pPr>
      <w:r>
        <w:t>Les ressources prises en compte pour la détermination du taux de prise</w:t>
      </w:r>
      <w:r w:rsidR="007F3FF9" w:rsidRPr="007F3FF9">
        <w:t xml:space="preserve"> </w:t>
      </w:r>
      <w:r w:rsidR="007F3FF9">
        <w:t>en charge sont les revenus des valeurs et capitaux mobiliers, les plus-values et gains divers et les revenus fonciers du foyer fiscal tels que reportés sur l’avis d’imposition.</w:t>
      </w:r>
    </w:p>
    <w:p w14:paraId="43E3D235" w14:textId="77777777" w:rsidR="007F3FF9" w:rsidRDefault="007F3FF9" w:rsidP="00045997">
      <w:pPr>
        <w:ind w:left="0"/>
        <w:jc w:val="both"/>
      </w:pPr>
      <w:r>
        <w:t>Sont donc exclues les ressources suivantes :</w:t>
      </w:r>
    </w:p>
    <w:p w14:paraId="16042548" w14:textId="77777777" w:rsidR="00A20356" w:rsidRDefault="007F3FF9" w:rsidP="00045997">
      <w:pPr>
        <w:pStyle w:val="Paragraphedeliste"/>
        <w:numPr>
          <w:ilvl w:val="0"/>
          <w:numId w:val="26"/>
        </w:numPr>
        <w:jc w:val="both"/>
      </w:pPr>
      <w:r>
        <w:t>Les revenus d’activité professionnelle de l’intéressé.</w:t>
      </w:r>
    </w:p>
    <w:p w14:paraId="3816EF75" w14:textId="77777777" w:rsidR="00A20356" w:rsidRDefault="007F3FF9" w:rsidP="00045997">
      <w:pPr>
        <w:pStyle w:val="Paragraphedeliste"/>
        <w:numPr>
          <w:ilvl w:val="0"/>
          <w:numId w:val="26"/>
        </w:numPr>
        <w:jc w:val="both"/>
      </w:pPr>
      <w:r>
        <w:t>Les indemnités temporaires, prestations et rentes viagères servies aux victimes d’accident du travail ou à leurs ayants droit.</w:t>
      </w:r>
    </w:p>
    <w:p w14:paraId="62ED2D19" w14:textId="77777777" w:rsidR="00A20356" w:rsidRDefault="007F3FF9" w:rsidP="00045997">
      <w:pPr>
        <w:pStyle w:val="Paragraphedeliste"/>
        <w:numPr>
          <w:ilvl w:val="0"/>
          <w:numId w:val="26"/>
        </w:numPr>
        <w:jc w:val="both"/>
      </w:pPr>
      <w:r>
        <w:t>Les revenus d’activité du conjoint, du concubin, du pacsé, de l’aidant familial qui, vivant au foyer de l’intéressé, en assure l’aide effective, de ses parents même lorsque l’intéressé est domicilié chez eux.</w:t>
      </w:r>
    </w:p>
    <w:p w14:paraId="3FE810DE" w14:textId="77777777" w:rsidR="00A20356" w:rsidRDefault="007F3FF9" w:rsidP="00045997">
      <w:pPr>
        <w:pStyle w:val="Paragraphedeliste"/>
        <w:numPr>
          <w:ilvl w:val="0"/>
          <w:numId w:val="26"/>
        </w:numPr>
        <w:jc w:val="both"/>
      </w:pPr>
      <w:r>
        <w:t>Les rentes viagères sous certaines conditions.</w:t>
      </w:r>
    </w:p>
    <w:p w14:paraId="44DBE6FF" w14:textId="44441B80" w:rsidR="00A20356" w:rsidRDefault="007F3FF9" w:rsidP="00045997">
      <w:pPr>
        <w:pStyle w:val="Paragraphedeliste"/>
        <w:numPr>
          <w:ilvl w:val="0"/>
          <w:numId w:val="26"/>
        </w:numPr>
        <w:jc w:val="both"/>
      </w:pPr>
      <w:r>
        <w:t>Les revenus de remplacement : avantage de vieillesse (retraites) ou d’invalidité, allocations versées aux travailleurs privés d’emploi, indemnités de maladie, maternité, maladies professionnelles, accidents du travail, pension alimentaire, bourses d’étudiant (art R 245-47 du CASF).</w:t>
      </w:r>
    </w:p>
    <w:p w14:paraId="1256B8F5" w14:textId="54BB756B" w:rsidR="00FE3E2C" w:rsidRDefault="007F3FF9" w:rsidP="00D00614">
      <w:pPr>
        <w:pStyle w:val="Paragraphedeliste"/>
        <w:numPr>
          <w:ilvl w:val="0"/>
          <w:numId w:val="26"/>
        </w:numPr>
        <w:spacing w:after="0"/>
        <w:ind w:left="0"/>
        <w:jc w:val="both"/>
      </w:pPr>
      <w:r>
        <w:lastRenderedPageBreak/>
        <w:t>Les prestations sociales à objet spécialisé : allocation de logement, RSA</w:t>
      </w:r>
      <w:r w:rsidR="006826EE">
        <w:t>, prime de déménagement (</w:t>
      </w:r>
      <w:r>
        <w:t>art R 245-48 du CASF).</w:t>
      </w:r>
    </w:p>
    <w:p w14:paraId="240237C4" w14:textId="77777777" w:rsidR="00136490" w:rsidRDefault="00136490" w:rsidP="00045997">
      <w:pPr>
        <w:ind w:left="0"/>
        <w:jc w:val="both"/>
      </w:pPr>
    </w:p>
    <w:p w14:paraId="04222CDA" w14:textId="77777777" w:rsidR="00136490" w:rsidRDefault="00136490" w:rsidP="00045997">
      <w:pPr>
        <w:pStyle w:val="Paragraphedeliste"/>
        <w:numPr>
          <w:ilvl w:val="0"/>
          <w:numId w:val="27"/>
        </w:numPr>
        <w:jc w:val="both"/>
      </w:pPr>
      <w:r>
        <w:t>APA</w:t>
      </w:r>
    </w:p>
    <w:p w14:paraId="2E1F6816" w14:textId="764D0926" w:rsidR="00136490" w:rsidRDefault="00D937C2" w:rsidP="00045997">
      <w:pPr>
        <w:ind w:left="0"/>
        <w:jc w:val="both"/>
      </w:pPr>
      <w:r>
        <w:t>L</w:t>
      </w:r>
      <w:r w:rsidR="00136490">
        <w:t xml:space="preserve">es revenus du demandeur sont pris en considération pour déterminer le montant de l’allocation à laquelle il a </w:t>
      </w:r>
      <w:r>
        <w:t xml:space="preserve">le </w:t>
      </w:r>
      <w:r w:rsidR="00136490">
        <w:t>droit. Il restera ainsi à sa charge une participation financière plus ou moins importante appelée « ticket modérateur ».</w:t>
      </w:r>
    </w:p>
    <w:p w14:paraId="05E8D303" w14:textId="79DE6425" w:rsidR="00136490" w:rsidRDefault="00136490" w:rsidP="00045997">
      <w:pPr>
        <w:ind w:left="0"/>
        <w:jc w:val="both"/>
      </w:pPr>
      <w:r>
        <w:t>Aucune participation ne sera demandée si les ressources du foyer fiscal sont inférieures à 0,67 fois le montant de la maj</w:t>
      </w:r>
      <w:r w:rsidR="00045997">
        <w:t>oration tierce personne (0,67x1</w:t>
      </w:r>
      <w:r w:rsidR="00990256">
        <w:t>210</w:t>
      </w:r>
      <w:r w:rsidR="00A36728">
        <w:t>,9</w:t>
      </w:r>
      <w:r w:rsidR="00990256">
        <w:t>1</w:t>
      </w:r>
      <w:r w:rsidR="006826EE">
        <w:t xml:space="preserve"> </w:t>
      </w:r>
      <w:r>
        <w:t xml:space="preserve">€). </w:t>
      </w:r>
      <w:r w:rsidR="0074041A">
        <w:t>La participation</w:t>
      </w:r>
      <w:r>
        <w:t xml:space="preserve"> sera de 90% si les ressources sont au moins égales à 2,67 fois le montant de la majoration tierce personne (MTP).  Enfin, pour ceux dont les revenus sont compris entre 0,67 fois et 2,67 fois le montant de la MTP, la participation est calculée selon la formule suivante :</w:t>
      </w:r>
    </w:p>
    <w:p w14:paraId="4FF3C459" w14:textId="77777777" w:rsidR="00136490" w:rsidRDefault="00136490" w:rsidP="00045997">
      <w:pPr>
        <w:ind w:left="0"/>
        <w:jc w:val="both"/>
      </w:pPr>
      <w:r>
        <w:t>P= Aide proposée x (</w:t>
      </w:r>
      <w:r w:rsidRPr="00912F93">
        <w:rPr>
          <w:u w:val="single"/>
        </w:rPr>
        <w:t>revenu- (MTPx0,67</w:t>
      </w:r>
      <w:r>
        <w:t>))</w:t>
      </w:r>
      <w:r w:rsidR="00912F93">
        <w:t xml:space="preserve"> </w:t>
      </w:r>
      <w:r>
        <w:t xml:space="preserve">x 90% </w:t>
      </w:r>
    </w:p>
    <w:p w14:paraId="55C07541" w14:textId="77777777" w:rsidR="00136490" w:rsidRDefault="00136490" w:rsidP="00912F93">
      <w:pPr>
        <w:ind w:left="2832"/>
        <w:jc w:val="both"/>
      </w:pPr>
      <w:r>
        <w:t>MTP x 2</w:t>
      </w:r>
    </w:p>
    <w:p w14:paraId="535F202B" w14:textId="77777777" w:rsidR="00136490" w:rsidRDefault="00136490" w:rsidP="00045997">
      <w:pPr>
        <w:ind w:left="0"/>
        <w:jc w:val="both"/>
      </w:pPr>
      <w:r>
        <w:t>Ex concret :</w:t>
      </w:r>
      <w:r w:rsidR="00F86D75">
        <w:tab/>
      </w:r>
      <w:r>
        <w:t>-aide proposée : 800€</w:t>
      </w:r>
    </w:p>
    <w:p w14:paraId="0361FE7F" w14:textId="77777777" w:rsidR="00136490" w:rsidRDefault="00136490" w:rsidP="00F86D75">
      <w:pPr>
        <w:ind w:left="1416" w:firstLine="708"/>
        <w:jc w:val="both"/>
      </w:pPr>
      <w:r>
        <w:t>-revenus : 1400€</w:t>
      </w:r>
    </w:p>
    <w:p w14:paraId="616CFEB0" w14:textId="77777777" w:rsidR="00136490" w:rsidRDefault="00136490" w:rsidP="00045997">
      <w:pPr>
        <w:ind w:left="0"/>
        <w:jc w:val="both"/>
      </w:pPr>
    </w:p>
    <w:p w14:paraId="2D739AC1" w14:textId="7356A816" w:rsidR="00136490" w:rsidRDefault="006826EE" w:rsidP="00045997">
      <w:pPr>
        <w:ind w:left="0"/>
        <w:jc w:val="both"/>
      </w:pPr>
      <w:r>
        <w:t>P= 800 x (</w:t>
      </w:r>
      <w:r w:rsidRPr="00B90346">
        <w:rPr>
          <w:u w:val="single"/>
        </w:rPr>
        <w:t>1400</w:t>
      </w:r>
      <w:r w:rsidR="00912F93" w:rsidRPr="00B90346">
        <w:rPr>
          <w:u w:val="single"/>
        </w:rPr>
        <w:t xml:space="preserve"> </w:t>
      </w:r>
      <w:r w:rsidRPr="00B90346">
        <w:rPr>
          <w:u w:val="single"/>
        </w:rPr>
        <w:t>- (</w:t>
      </w:r>
      <w:r w:rsidRPr="00912F93">
        <w:rPr>
          <w:u w:val="single"/>
        </w:rPr>
        <w:t>1</w:t>
      </w:r>
      <w:r w:rsidR="00990256">
        <w:rPr>
          <w:u w:val="single"/>
        </w:rPr>
        <w:t>2</w:t>
      </w:r>
      <w:r w:rsidR="009F2351">
        <w:rPr>
          <w:u w:val="single"/>
        </w:rPr>
        <w:t>66</w:t>
      </w:r>
      <w:r w:rsidR="00990256">
        <w:rPr>
          <w:u w:val="single"/>
        </w:rPr>
        <w:t>,</w:t>
      </w:r>
      <w:r w:rsidR="009F2351">
        <w:rPr>
          <w:u w:val="single"/>
        </w:rPr>
        <w:t>60</w:t>
      </w:r>
      <w:r w:rsidR="0074041A">
        <w:rPr>
          <w:rStyle w:val="Appelnotedebasdep"/>
          <w:u w:val="single"/>
        </w:rPr>
        <w:footnoteReference w:id="1"/>
      </w:r>
      <w:r w:rsidR="00990256">
        <w:rPr>
          <w:u w:val="single"/>
        </w:rPr>
        <w:t xml:space="preserve"> </w:t>
      </w:r>
      <w:r w:rsidR="00136490" w:rsidRPr="00912F93">
        <w:rPr>
          <w:u w:val="single"/>
        </w:rPr>
        <w:t>x</w:t>
      </w:r>
      <w:r w:rsidR="00990256">
        <w:rPr>
          <w:u w:val="single"/>
        </w:rPr>
        <w:t xml:space="preserve"> </w:t>
      </w:r>
      <w:r w:rsidR="00136490" w:rsidRPr="00912F93">
        <w:rPr>
          <w:u w:val="single"/>
        </w:rPr>
        <w:t>0,67</w:t>
      </w:r>
      <w:r w:rsidR="00136490">
        <w:t>) x 90%</w:t>
      </w:r>
    </w:p>
    <w:p w14:paraId="47049868" w14:textId="7AE9E4C2" w:rsidR="00136490" w:rsidRDefault="006826EE" w:rsidP="00B90346">
      <w:pPr>
        <w:ind w:left="1700"/>
        <w:jc w:val="both"/>
      </w:pPr>
      <w:r>
        <w:t>2</w:t>
      </w:r>
      <w:r w:rsidR="009F2351">
        <w:t>533</w:t>
      </w:r>
      <w:r>
        <w:t>,</w:t>
      </w:r>
      <w:r w:rsidR="00990256">
        <w:t>2</w:t>
      </w:r>
      <w:r w:rsidR="009F2351">
        <w:t>0</w:t>
      </w:r>
      <w:r>
        <w:t xml:space="preserve"> €</w:t>
      </w:r>
    </w:p>
    <w:p w14:paraId="1657B3C3" w14:textId="77777777" w:rsidR="00136490" w:rsidRDefault="00136490" w:rsidP="00F86D75">
      <w:pPr>
        <w:ind w:left="0"/>
        <w:jc w:val="center"/>
      </w:pPr>
    </w:p>
    <w:p w14:paraId="3D97FB7C" w14:textId="15DED94D" w:rsidR="00136490" w:rsidRDefault="00B90346" w:rsidP="00045997">
      <w:pPr>
        <w:ind w:left="0"/>
        <w:jc w:val="both"/>
      </w:pPr>
      <w:r>
        <w:t>P= 800 x 0,2</w:t>
      </w:r>
      <w:r w:rsidR="009F2351">
        <w:t>17</w:t>
      </w:r>
      <w:r w:rsidR="004123D7">
        <w:t xml:space="preserve"> </w:t>
      </w:r>
      <w:r w:rsidR="00136490">
        <w:t xml:space="preserve">x 90% </w:t>
      </w:r>
    </w:p>
    <w:p w14:paraId="0A978E01" w14:textId="77777777" w:rsidR="00136490" w:rsidRDefault="00136490" w:rsidP="00045997">
      <w:pPr>
        <w:ind w:left="0"/>
        <w:jc w:val="both"/>
      </w:pPr>
    </w:p>
    <w:p w14:paraId="732F7A8D" w14:textId="4874E8F3" w:rsidR="00136490" w:rsidRDefault="00B90346" w:rsidP="00045997">
      <w:pPr>
        <w:ind w:left="0"/>
        <w:jc w:val="both"/>
      </w:pPr>
      <w:r>
        <w:t xml:space="preserve">P= </w:t>
      </w:r>
      <w:r w:rsidR="009F2351">
        <w:t>156</w:t>
      </w:r>
      <w:r w:rsidR="007A6A2F">
        <w:t>,</w:t>
      </w:r>
      <w:r w:rsidR="009F2351">
        <w:t>24</w:t>
      </w:r>
      <w:r w:rsidR="00136490">
        <w:t xml:space="preserve"> €</w:t>
      </w:r>
    </w:p>
    <w:p w14:paraId="7F7D6A48" w14:textId="77777777" w:rsidR="00136490" w:rsidRDefault="00136490" w:rsidP="00045997">
      <w:pPr>
        <w:ind w:left="0"/>
        <w:jc w:val="both"/>
      </w:pPr>
    </w:p>
    <w:p w14:paraId="09633E20" w14:textId="798D5527" w:rsidR="00136490" w:rsidRDefault="00136490" w:rsidP="00045997">
      <w:pPr>
        <w:ind w:left="0"/>
        <w:jc w:val="both"/>
      </w:pPr>
      <w:r>
        <w:t>L’APA réellement</w:t>
      </w:r>
      <w:r w:rsidR="00B90346">
        <w:t xml:space="preserve"> versée sera donc de 800 </w:t>
      </w:r>
      <w:r w:rsidR="004123D7">
        <w:t>–</w:t>
      </w:r>
      <w:r w:rsidR="00B90346">
        <w:t xml:space="preserve"> </w:t>
      </w:r>
      <w:r w:rsidR="004123D7">
        <w:t>1</w:t>
      </w:r>
      <w:r w:rsidR="009F2351">
        <w:t>56,24 €</w:t>
      </w:r>
      <w:r w:rsidR="00B90346">
        <w:t xml:space="preserve"> = </w:t>
      </w:r>
      <w:r w:rsidR="00DF2692">
        <w:t>643,76</w:t>
      </w:r>
      <w:r w:rsidR="006826EE">
        <w:t xml:space="preserve"> </w:t>
      </w:r>
      <w:r>
        <w:t>€</w:t>
      </w:r>
    </w:p>
    <w:p w14:paraId="3F530FBE" w14:textId="77777777" w:rsidR="00136490" w:rsidRDefault="00136490" w:rsidP="00045997">
      <w:pPr>
        <w:ind w:left="0"/>
        <w:jc w:val="both"/>
      </w:pPr>
      <w:r>
        <w:t>Les revenus pris en compte sont tous ceux que le demandeur a déclarés au fisc ainsi que, pour le demandeur vivant en couple, les revenus de son conjoint, concubin ou partenaire de PACS.</w:t>
      </w:r>
    </w:p>
    <w:p w14:paraId="708FB5C0" w14:textId="77777777" w:rsidR="00136490" w:rsidRDefault="00136490" w:rsidP="00045997">
      <w:pPr>
        <w:ind w:left="0"/>
        <w:jc w:val="both"/>
      </w:pPr>
      <w:r>
        <w:lastRenderedPageBreak/>
        <w:t xml:space="preserve">Si le demandeur dispose de biens ou de capitaux qui ne sont ni exploités ni placés, on considère qu’ils rapportent un revenu évalué de manière fictive à 50% du loyer que l’on pourrait tirer de la location s’il s’agit d’un logement, à 80% de la valeur locative pour un terrain non bâti et à 3% de </w:t>
      </w:r>
      <w:r w:rsidR="006826EE">
        <w:t>leur montant pour les capitaux.</w:t>
      </w:r>
    </w:p>
    <w:p w14:paraId="543C7CC3" w14:textId="518C617C" w:rsidR="00136490" w:rsidRDefault="00136490" w:rsidP="00045997">
      <w:pPr>
        <w:ind w:left="0"/>
        <w:jc w:val="both"/>
        <w:rPr>
          <w:b/>
          <w:bCs/>
          <w:u w:val="single"/>
        </w:rPr>
      </w:pPr>
      <w:r w:rsidRPr="00A96F92">
        <w:rPr>
          <w:b/>
          <w:bCs/>
          <w:u w:val="single"/>
        </w:rPr>
        <w:t>Il apparaît clairement que l</w:t>
      </w:r>
      <w:r w:rsidR="00522A10">
        <w:rPr>
          <w:b/>
          <w:bCs/>
          <w:u w:val="single"/>
        </w:rPr>
        <w:t>a</w:t>
      </w:r>
      <w:r w:rsidRPr="00A96F92">
        <w:rPr>
          <w:b/>
          <w:bCs/>
          <w:u w:val="single"/>
        </w:rPr>
        <w:t xml:space="preserve"> condition de ressource</w:t>
      </w:r>
      <w:r w:rsidR="0074041A">
        <w:rPr>
          <w:b/>
          <w:bCs/>
          <w:u w:val="single"/>
        </w:rPr>
        <w:t>s</w:t>
      </w:r>
      <w:r w:rsidRPr="00A96F92">
        <w:rPr>
          <w:b/>
          <w:bCs/>
          <w:u w:val="single"/>
        </w:rPr>
        <w:t xml:space="preserve"> </w:t>
      </w:r>
      <w:r w:rsidR="00522A10">
        <w:rPr>
          <w:b/>
          <w:bCs/>
          <w:u w:val="single"/>
        </w:rPr>
        <w:t>prévue pour la</w:t>
      </w:r>
      <w:r w:rsidRPr="00A96F92">
        <w:rPr>
          <w:b/>
          <w:bCs/>
          <w:u w:val="single"/>
        </w:rPr>
        <w:t xml:space="preserve"> PCH </w:t>
      </w:r>
      <w:r w:rsidR="00522A10">
        <w:rPr>
          <w:b/>
          <w:bCs/>
          <w:u w:val="single"/>
        </w:rPr>
        <w:t>est</w:t>
      </w:r>
      <w:r w:rsidRPr="00A96F92">
        <w:rPr>
          <w:b/>
          <w:bCs/>
          <w:u w:val="single"/>
        </w:rPr>
        <w:t xml:space="preserve"> pl</w:t>
      </w:r>
      <w:r w:rsidR="009666E4" w:rsidRPr="00A96F92">
        <w:rPr>
          <w:b/>
          <w:bCs/>
          <w:u w:val="single"/>
        </w:rPr>
        <w:t xml:space="preserve">us </w:t>
      </w:r>
      <w:r w:rsidRPr="00A96F92">
        <w:rPr>
          <w:b/>
          <w:bCs/>
          <w:u w:val="single"/>
        </w:rPr>
        <w:t>f</w:t>
      </w:r>
      <w:r w:rsidR="000E28CA" w:rsidRPr="00A96F92">
        <w:rPr>
          <w:b/>
          <w:bCs/>
          <w:u w:val="single"/>
        </w:rPr>
        <w:t>avorable que celle</w:t>
      </w:r>
      <w:r w:rsidR="00522A10">
        <w:rPr>
          <w:b/>
          <w:bCs/>
          <w:u w:val="single"/>
        </w:rPr>
        <w:t xml:space="preserve"> prévue pour</w:t>
      </w:r>
      <w:r w:rsidR="000E28CA" w:rsidRPr="00A96F92">
        <w:rPr>
          <w:b/>
          <w:bCs/>
          <w:u w:val="single"/>
        </w:rPr>
        <w:t xml:space="preserve"> l’APA. </w:t>
      </w:r>
    </w:p>
    <w:p w14:paraId="2D692B1B" w14:textId="77777777" w:rsidR="0074041A" w:rsidRPr="00A96F92" w:rsidRDefault="0074041A" w:rsidP="00045997">
      <w:pPr>
        <w:ind w:left="0"/>
        <w:jc w:val="both"/>
        <w:rPr>
          <w:b/>
          <w:bCs/>
          <w:u w:val="single"/>
        </w:rPr>
      </w:pPr>
    </w:p>
    <w:p w14:paraId="0E39E412" w14:textId="77777777" w:rsidR="00B17516" w:rsidRDefault="00B17516" w:rsidP="00045997">
      <w:pPr>
        <w:ind w:left="0"/>
        <w:jc w:val="both"/>
      </w:pPr>
    </w:p>
    <w:p w14:paraId="2F8B21FA" w14:textId="77777777" w:rsidR="00136490" w:rsidRDefault="00136490" w:rsidP="00045997">
      <w:pPr>
        <w:pStyle w:val="Titre1"/>
      </w:pPr>
      <w:r>
        <w:t>MONTANTS</w:t>
      </w:r>
    </w:p>
    <w:p w14:paraId="07A34532" w14:textId="77777777" w:rsidR="00136490" w:rsidRDefault="009666E4" w:rsidP="00472ED6">
      <w:pPr>
        <w:pStyle w:val="Titre2"/>
      </w:pPr>
      <w:r>
        <w:t>PCH</w:t>
      </w:r>
    </w:p>
    <w:p w14:paraId="1DA24CAF" w14:textId="63B4C99D" w:rsidR="00136490" w:rsidRDefault="00136490" w:rsidP="00045997">
      <w:pPr>
        <w:ind w:left="0"/>
        <w:jc w:val="both"/>
      </w:pPr>
      <w:r>
        <w:t>Montants maximaux</w:t>
      </w:r>
      <w:r w:rsidR="0074041A">
        <w:t xml:space="preserve"> </w:t>
      </w:r>
      <w:r>
        <w:t>:</w:t>
      </w:r>
    </w:p>
    <w:p w14:paraId="76648DEB" w14:textId="77777777" w:rsidR="00136490" w:rsidRDefault="00136490" w:rsidP="00045997">
      <w:pPr>
        <w:ind w:left="0"/>
        <w:jc w:val="both"/>
      </w:pPr>
    </w:p>
    <w:p w14:paraId="0AA560FE" w14:textId="77777777" w:rsidR="00045997" w:rsidRDefault="00136490" w:rsidP="008F1B48">
      <w:pPr>
        <w:ind w:left="360"/>
        <w:jc w:val="both"/>
      </w:pPr>
      <w:r>
        <w:t>Aides humaines (en fonction de la durée quotidienne d'aide) :</w:t>
      </w:r>
    </w:p>
    <w:p w14:paraId="0586A40E" w14:textId="614427E8" w:rsidR="00045997" w:rsidRDefault="00045997" w:rsidP="00045997">
      <w:pPr>
        <w:pStyle w:val="Paragraphedeliste"/>
        <w:numPr>
          <w:ilvl w:val="0"/>
          <w:numId w:val="29"/>
        </w:numPr>
        <w:jc w:val="both"/>
      </w:pPr>
      <w:r>
        <w:t>A</w:t>
      </w:r>
      <w:r w:rsidR="00136490">
        <w:t>ide à domic</w:t>
      </w:r>
      <w:r w:rsidR="009666E4">
        <w:t>ile emplo</w:t>
      </w:r>
      <w:r w:rsidR="00B90346">
        <w:t>yée directement : 1</w:t>
      </w:r>
      <w:r w:rsidR="00DF2692">
        <w:t>8</w:t>
      </w:r>
      <w:r w:rsidR="00B90346">
        <w:t>,</w:t>
      </w:r>
      <w:r w:rsidR="00DF2692">
        <w:t>96</w:t>
      </w:r>
      <w:r w:rsidR="00CB2F33">
        <w:t xml:space="preserve"> </w:t>
      </w:r>
      <w:r w:rsidR="00B90346">
        <w:t xml:space="preserve">€/h ou </w:t>
      </w:r>
      <w:r w:rsidR="00DF2692">
        <w:t>20</w:t>
      </w:r>
      <w:r w:rsidR="00B90346">
        <w:t>,</w:t>
      </w:r>
      <w:r w:rsidR="00DF2692">
        <w:t>86</w:t>
      </w:r>
      <w:r w:rsidR="00CB2F33">
        <w:t xml:space="preserve"> </w:t>
      </w:r>
      <w:r w:rsidR="00136490">
        <w:t xml:space="preserve">€/h </w:t>
      </w:r>
      <w:r w:rsidR="009666E4">
        <w:t>en cas de recours à un service</w:t>
      </w:r>
      <w:r w:rsidR="00136490">
        <w:t xml:space="preserve"> mandataire</w:t>
      </w:r>
    </w:p>
    <w:p w14:paraId="19504DE8" w14:textId="77777777" w:rsidR="00045997" w:rsidRDefault="00136490" w:rsidP="00045997">
      <w:pPr>
        <w:pStyle w:val="Paragraphedeliste"/>
        <w:numPr>
          <w:ilvl w:val="0"/>
          <w:numId w:val="29"/>
        </w:numPr>
        <w:jc w:val="both"/>
      </w:pPr>
      <w:r>
        <w:t>Recours à un service d'aide à domicile autorisé : tarif du service fixé par le département</w:t>
      </w:r>
    </w:p>
    <w:p w14:paraId="38C98630" w14:textId="3F2C947E" w:rsidR="00045997" w:rsidRDefault="00136490" w:rsidP="00045997">
      <w:pPr>
        <w:pStyle w:val="Paragraphedeliste"/>
        <w:numPr>
          <w:ilvl w:val="0"/>
          <w:numId w:val="29"/>
        </w:numPr>
        <w:jc w:val="both"/>
      </w:pPr>
      <w:r>
        <w:t xml:space="preserve">Recours à un service à la personne agrée : </w:t>
      </w:r>
      <w:r w:rsidR="00CB2F33">
        <w:t>23</w:t>
      </w:r>
      <w:r w:rsidR="00DF2692">
        <w:t>,50</w:t>
      </w:r>
      <w:r>
        <w:t xml:space="preserve">€/h ou tarif prévu dans la convention -service/département </w:t>
      </w:r>
    </w:p>
    <w:p w14:paraId="262DAF2A" w14:textId="2376D97F" w:rsidR="00136490" w:rsidRDefault="009666E4" w:rsidP="00045997">
      <w:pPr>
        <w:pStyle w:val="Paragraphedeliste"/>
        <w:numPr>
          <w:ilvl w:val="0"/>
          <w:numId w:val="29"/>
        </w:numPr>
        <w:jc w:val="both"/>
      </w:pPr>
      <w:r>
        <w:t xml:space="preserve">Aidant familial : </w:t>
      </w:r>
      <w:r w:rsidR="00CB2F33">
        <w:t>4</w:t>
      </w:r>
      <w:r>
        <w:t>,</w:t>
      </w:r>
      <w:r w:rsidR="00DF2692">
        <w:t>69</w:t>
      </w:r>
      <w:r>
        <w:t xml:space="preserve"> €/h ou </w:t>
      </w:r>
      <w:r w:rsidR="00DF2692">
        <w:t>7</w:t>
      </w:r>
      <w:r>
        <w:t>,</w:t>
      </w:r>
      <w:r w:rsidR="00DF2692">
        <w:t>04</w:t>
      </w:r>
      <w:r w:rsidR="00CB2F33">
        <w:t xml:space="preserve"> </w:t>
      </w:r>
      <w:r w:rsidR="00136490">
        <w:t>€/h en cas de cessation totale ou partielle d'activité, dans la limite de 85% du SMIC</w:t>
      </w:r>
      <w:r w:rsidR="00CB2F33">
        <w:t xml:space="preserve"> </w:t>
      </w:r>
      <w:r w:rsidR="00136490">
        <w:t>/mois ou majoré de 20% du SMIC /mois dans certains cas.</w:t>
      </w:r>
    </w:p>
    <w:p w14:paraId="41A59BED" w14:textId="77777777" w:rsidR="00B90346" w:rsidRDefault="00B90346" w:rsidP="00B90346">
      <w:pPr>
        <w:ind w:left="0"/>
        <w:jc w:val="both"/>
      </w:pPr>
    </w:p>
    <w:p w14:paraId="095B9962" w14:textId="52E13D4B" w:rsidR="00136490" w:rsidRDefault="00942729" w:rsidP="00045997">
      <w:pPr>
        <w:ind w:left="0"/>
        <w:jc w:val="both"/>
      </w:pPr>
      <w:r w:rsidRPr="00B17516">
        <w:rPr>
          <w:b/>
          <w:bCs/>
        </w:rPr>
        <w:t>Le</w:t>
      </w:r>
      <w:r w:rsidR="00480642" w:rsidRPr="00B17516">
        <w:rPr>
          <w:b/>
          <w:bCs/>
        </w:rPr>
        <w:t xml:space="preserve"> forfait cécité</w:t>
      </w:r>
      <w:r w:rsidR="00B17516">
        <w:rPr>
          <w:b/>
          <w:bCs/>
        </w:rPr>
        <w:t xml:space="preserve"> (sans </w:t>
      </w:r>
      <w:r w:rsidR="00E93291">
        <w:rPr>
          <w:b/>
          <w:bCs/>
        </w:rPr>
        <w:t>justificatifs</w:t>
      </w:r>
      <w:r w:rsidR="00B17516">
        <w:rPr>
          <w:b/>
          <w:bCs/>
        </w:rPr>
        <w:t>)</w:t>
      </w:r>
      <w:r w:rsidR="00480642">
        <w:t xml:space="preserve"> : </w:t>
      </w:r>
      <w:r w:rsidR="00CB2F33">
        <w:t>7</w:t>
      </w:r>
      <w:r w:rsidR="00DF2692">
        <w:t>96</w:t>
      </w:r>
      <w:r w:rsidR="00CB2F33">
        <w:t>,</w:t>
      </w:r>
      <w:r w:rsidR="00DF2692">
        <w:t>90</w:t>
      </w:r>
      <w:r w:rsidR="007A6A2F">
        <w:t xml:space="preserve"> </w:t>
      </w:r>
      <w:r w:rsidR="00136490">
        <w:t>€/mois à condition d’être titulaire de la carte d</w:t>
      </w:r>
      <w:r>
        <w:t xml:space="preserve">’invalidité </w:t>
      </w:r>
      <w:r w:rsidR="00136490">
        <w:t>mention cécité</w:t>
      </w:r>
      <w:r w:rsidR="00B90346">
        <w:t>.</w:t>
      </w:r>
    </w:p>
    <w:p w14:paraId="1A18069E" w14:textId="77777777" w:rsidR="00136490" w:rsidRDefault="00136490" w:rsidP="00045997">
      <w:pPr>
        <w:ind w:left="0"/>
        <w:jc w:val="both"/>
      </w:pPr>
    </w:p>
    <w:p w14:paraId="26C28FDA" w14:textId="7937036B" w:rsidR="00045997" w:rsidRDefault="00136490" w:rsidP="00B90346">
      <w:pPr>
        <w:pStyle w:val="Paragraphedeliste"/>
        <w:numPr>
          <w:ilvl w:val="0"/>
          <w:numId w:val="30"/>
        </w:numPr>
        <w:jc w:val="both"/>
      </w:pPr>
      <w:r>
        <w:t xml:space="preserve">Aides techniques </w:t>
      </w:r>
      <w:r w:rsidR="00045997">
        <w:t xml:space="preserve">: </w:t>
      </w:r>
      <w:r w:rsidR="007E3692">
        <w:t>13200</w:t>
      </w:r>
      <w:r w:rsidR="00045997">
        <w:t xml:space="preserve"> € pour </w:t>
      </w:r>
      <w:r w:rsidR="007E3692">
        <w:t>10</w:t>
      </w:r>
      <w:r w:rsidR="00045997">
        <w:t xml:space="preserve"> ans en principe</w:t>
      </w:r>
    </w:p>
    <w:p w14:paraId="1115575E" w14:textId="77777777" w:rsidR="00045997" w:rsidRDefault="00136490" w:rsidP="00045997">
      <w:pPr>
        <w:pStyle w:val="Paragraphedeliste"/>
        <w:numPr>
          <w:ilvl w:val="0"/>
          <w:numId w:val="30"/>
        </w:numPr>
        <w:jc w:val="both"/>
      </w:pPr>
      <w:r>
        <w:t xml:space="preserve">Aides à l'aménagement du </w:t>
      </w:r>
      <w:r w:rsidR="00045997">
        <w:t>logement : 10 000 € pour 10 ans</w:t>
      </w:r>
    </w:p>
    <w:p w14:paraId="7AC57B53" w14:textId="7535AC08" w:rsidR="00045997" w:rsidRDefault="007E3692" w:rsidP="00045997">
      <w:pPr>
        <w:pStyle w:val="Paragraphedeliste"/>
        <w:numPr>
          <w:ilvl w:val="0"/>
          <w:numId w:val="30"/>
        </w:numPr>
        <w:jc w:val="both"/>
      </w:pPr>
      <w:r>
        <w:lastRenderedPageBreak/>
        <w:t xml:space="preserve">Aides à l’aménagement </w:t>
      </w:r>
      <w:r w:rsidR="00045997">
        <w:t>du</w:t>
      </w:r>
      <w:r w:rsidR="00136490">
        <w:t xml:space="preserve"> véhicule et des surcoûts "t</w:t>
      </w:r>
      <w:r w:rsidR="00045997">
        <w:t>ransports" : 12000 € pour 5 ans</w:t>
      </w:r>
    </w:p>
    <w:p w14:paraId="0519189D" w14:textId="2FFBDB32" w:rsidR="00045997" w:rsidRDefault="00136490" w:rsidP="00045997">
      <w:pPr>
        <w:pStyle w:val="Paragraphedeliste"/>
        <w:numPr>
          <w:ilvl w:val="0"/>
          <w:numId w:val="30"/>
        </w:numPr>
        <w:jc w:val="both"/>
      </w:pPr>
      <w:r>
        <w:t xml:space="preserve">Aides exceptionnelles : </w:t>
      </w:r>
      <w:r w:rsidR="007E3692">
        <w:t xml:space="preserve">6000 </w:t>
      </w:r>
      <w:r>
        <w:t>€ p</w:t>
      </w:r>
      <w:r w:rsidR="00045997">
        <w:t xml:space="preserve">our </w:t>
      </w:r>
      <w:r w:rsidR="007E3692">
        <w:t>10</w:t>
      </w:r>
      <w:r w:rsidR="00045997">
        <w:t xml:space="preserve"> ans</w:t>
      </w:r>
    </w:p>
    <w:p w14:paraId="2ED20372" w14:textId="77777777" w:rsidR="00136490" w:rsidRDefault="00045997" w:rsidP="00045997">
      <w:pPr>
        <w:pStyle w:val="Paragraphedeliste"/>
        <w:numPr>
          <w:ilvl w:val="0"/>
          <w:numId w:val="0"/>
        </w:numPr>
        <w:ind w:left="720"/>
        <w:jc w:val="both"/>
      </w:pPr>
      <w:r>
        <w:t>ou spécifique : 100 €</w:t>
      </w:r>
      <w:r w:rsidR="00136490">
        <w:t xml:space="preserve">/mois </w:t>
      </w:r>
    </w:p>
    <w:p w14:paraId="49DB0009" w14:textId="3351C65C" w:rsidR="00136490" w:rsidRDefault="00136490" w:rsidP="00045997">
      <w:pPr>
        <w:pStyle w:val="Paragraphedeliste"/>
        <w:numPr>
          <w:ilvl w:val="0"/>
          <w:numId w:val="30"/>
        </w:numPr>
        <w:jc w:val="both"/>
      </w:pPr>
      <w:r>
        <w:t xml:space="preserve">Aide animalière : </w:t>
      </w:r>
      <w:r w:rsidR="007E3692">
        <w:t>6</w:t>
      </w:r>
      <w:r>
        <w:t xml:space="preserve">000 € pour </w:t>
      </w:r>
      <w:r w:rsidR="007E3692">
        <w:t>10</w:t>
      </w:r>
      <w:r>
        <w:t xml:space="preserve"> ans</w:t>
      </w:r>
    </w:p>
    <w:p w14:paraId="719D2804" w14:textId="77777777" w:rsidR="00136490" w:rsidRDefault="00136490" w:rsidP="00045997">
      <w:pPr>
        <w:ind w:left="0"/>
        <w:jc w:val="both"/>
      </w:pPr>
    </w:p>
    <w:p w14:paraId="35151DFC" w14:textId="0CDBB5D8" w:rsidR="00136490" w:rsidRPr="00B17516" w:rsidRDefault="00136490" w:rsidP="00045997">
      <w:pPr>
        <w:ind w:left="0"/>
        <w:jc w:val="both"/>
        <w:rPr>
          <w:b/>
          <w:bCs/>
          <w:u w:val="single"/>
        </w:rPr>
      </w:pPr>
      <w:r w:rsidRPr="00B17516">
        <w:rPr>
          <w:b/>
          <w:bCs/>
          <w:u w:val="single"/>
        </w:rPr>
        <w:t xml:space="preserve">En conséquence, </w:t>
      </w:r>
      <w:bookmarkStart w:id="1" w:name="_Hlk182846541"/>
      <w:r w:rsidRPr="00B17516">
        <w:rPr>
          <w:b/>
          <w:bCs/>
          <w:u w:val="single"/>
        </w:rPr>
        <w:t>les bénéficiaires de la PCH peuvent cumuler différentes aides en fonction d</w:t>
      </w:r>
      <w:r w:rsidR="00E93291">
        <w:rPr>
          <w:b/>
          <w:bCs/>
          <w:u w:val="single"/>
        </w:rPr>
        <w:t>e leur</w:t>
      </w:r>
      <w:r w:rsidRPr="00B17516">
        <w:rPr>
          <w:b/>
          <w:bCs/>
          <w:u w:val="single"/>
        </w:rPr>
        <w:t xml:space="preserve"> projet de vie </w:t>
      </w:r>
      <w:r w:rsidR="00045997" w:rsidRPr="00B17516">
        <w:rPr>
          <w:b/>
          <w:bCs/>
          <w:u w:val="single"/>
        </w:rPr>
        <w:t xml:space="preserve">et non plus du seul handicap. </w:t>
      </w:r>
      <w:bookmarkEnd w:id="1"/>
    </w:p>
    <w:p w14:paraId="062C2232" w14:textId="77777777" w:rsidR="00045997" w:rsidRDefault="00045997" w:rsidP="00045997">
      <w:pPr>
        <w:ind w:left="0"/>
        <w:jc w:val="both"/>
      </w:pPr>
    </w:p>
    <w:p w14:paraId="6C4BEC8D" w14:textId="77777777" w:rsidR="00E42927" w:rsidRDefault="00E42927" w:rsidP="00045997">
      <w:pPr>
        <w:ind w:left="0"/>
        <w:jc w:val="both"/>
      </w:pPr>
    </w:p>
    <w:p w14:paraId="66287CE0" w14:textId="77777777" w:rsidR="00136490" w:rsidRDefault="00136490" w:rsidP="00472ED6">
      <w:pPr>
        <w:pStyle w:val="Titre2"/>
      </w:pPr>
      <w:r>
        <w:t>APA</w:t>
      </w:r>
    </w:p>
    <w:p w14:paraId="3A4B9DBA" w14:textId="761950F7" w:rsidR="00136490" w:rsidRDefault="00136490" w:rsidP="00045997">
      <w:pPr>
        <w:ind w:left="0"/>
        <w:jc w:val="both"/>
      </w:pPr>
      <w:r>
        <w:t xml:space="preserve">Montant </w:t>
      </w:r>
      <w:r w:rsidR="008101A0">
        <w:t xml:space="preserve">mensuel </w:t>
      </w:r>
      <w:r>
        <w:t xml:space="preserve">maximal du plan </w:t>
      </w:r>
      <w:r w:rsidR="00E42927">
        <w:t>d’aide :</w:t>
      </w:r>
    </w:p>
    <w:p w14:paraId="01EEC82F" w14:textId="378E9D46" w:rsidR="00136490" w:rsidRDefault="008101A0" w:rsidP="00045997">
      <w:pPr>
        <w:pStyle w:val="Paragraphedeliste"/>
        <w:numPr>
          <w:ilvl w:val="0"/>
          <w:numId w:val="28"/>
        </w:numPr>
        <w:jc w:val="both"/>
      </w:pPr>
      <w:r>
        <w:t>GIR 1 : 1</w:t>
      </w:r>
      <w:r w:rsidR="007E3692">
        <w:t> </w:t>
      </w:r>
      <w:r w:rsidR="00837ABA">
        <w:t>9</w:t>
      </w:r>
      <w:r w:rsidR="007E3692">
        <w:t>55,60</w:t>
      </w:r>
      <w:r>
        <w:t xml:space="preserve"> €</w:t>
      </w:r>
    </w:p>
    <w:p w14:paraId="40825DDC" w14:textId="16EFFDE0" w:rsidR="008101A0" w:rsidRDefault="008101A0" w:rsidP="00045997">
      <w:pPr>
        <w:pStyle w:val="Paragraphedeliste"/>
        <w:numPr>
          <w:ilvl w:val="0"/>
          <w:numId w:val="28"/>
        </w:numPr>
        <w:jc w:val="both"/>
      </w:pPr>
      <w:r>
        <w:t xml:space="preserve">GIR 2 : 1 </w:t>
      </w:r>
      <w:r w:rsidR="00837ABA">
        <w:t>5</w:t>
      </w:r>
      <w:r w:rsidR="007E3692">
        <w:t>81</w:t>
      </w:r>
      <w:r>
        <w:t>,</w:t>
      </w:r>
      <w:r w:rsidR="007E3692">
        <w:t>44</w:t>
      </w:r>
      <w:r>
        <w:t xml:space="preserve"> €</w:t>
      </w:r>
    </w:p>
    <w:p w14:paraId="64578FE6" w14:textId="1FAA4114" w:rsidR="008101A0" w:rsidRDefault="008101A0" w:rsidP="00045997">
      <w:pPr>
        <w:pStyle w:val="Paragraphedeliste"/>
        <w:numPr>
          <w:ilvl w:val="0"/>
          <w:numId w:val="28"/>
        </w:numPr>
        <w:jc w:val="both"/>
      </w:pPr>
      <w:r>
        <w:t xml:space="preserve">GIR 3 : </w:t>
      </w:r>
      <w:r w:rsidR="007A6A2F">
        <w:t>1 </w:t>
      </w:r>
      <w:r w:rsidR="00837ABA">
        <w:t>1</w:t>
      </w:r>
      <w:r w:rsidR="007E3692">
        <w:t>43</w:t>
      </w:r>
      <w:r w:rsidR="007A6A2F">
        <w:t>,</w:t>
      </w:r>
      <w:r w:rsidR="007E3692">
        <w:t>09</w:t>
      </w:r>
      <w:r>
        <w:t xml:space="preserve"> €</w:t>
      </w:r>
    </w:p>
    <w:p w14:paraId="0E384645" w14:textId="0413D789" w:rsidR="00136490" w:rsidRDefault="008101A0" w:rsidP="00045997">
      <w:pPr>
        <w:pStyle w:val="Paragraphedeliste"/>
        <w:numPr>
          <w:ilvl w:val="0"/>
          <w:numId w:val="28"/>
        </w:numPr>
        <w:jc w:val="both"/>
      </w:pPr>
      <w:r>
        <w:t xml:space="preserve">GIR 4 : </w:t>
      </w:r>
      <w:r w:rsidR="00837ABA">
        <w:t>7</w:t>
      </w:r>
      <w:r w:rsidR="007E3692">
        <w:t>62</w:t>
      </w:r>
      <w:r>
        <w:t>,</w:t>
      </w:r>
      <w:r w:rsidR="007E3692">
        <w:t>87</w:t>
      </w:r>
      <w:r w:rsidR="00136490">
        <w:t xml:space="preserve"> €</w:t>
      </w:r>
      <w:r w:rsidR="00136490">
        <w:tab/>
      </w:r>
    </w:p>
    <w:p w14:paraId="1FEC8522" w14:textId="77777777" w:rsidR="00136490" w:rsidRPr="00B17516" w:rsidRDefault="00136490" w:rsidP="00045997">
      <w:pPr>
        <w:ind w:left="0"/>
        <w:jc w:val="both"/>
        <w:rPr>
          <w:b/>
          <w:bCs/>
          <w:u w:val="single"/>
        </w:rPr>
      </w:pPr>
      <w:r w:rsidRPr="00B17516">
        <w:rPr>
          <w:b/>
          <w:bCs/>
          <w:u w:val="single"/>
        </w:rPr>
        <w:t>On remarquera que les montants de l’APA sont non seulement inférieurs à ceux de la PCH mais aussi qu’ils ne concernent pas le financement des aides techniques.</w:t>
      </w:r>
    </w:p>
    <w:sectPr w:rsidR="00136490" w:rsidRPr="00B17516" w:rsidSect="00CB7119">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C13D4" w14:textId="77777777" w:rsidR="001F70DD" w:rsidRDefault="001F70DD" w:rsidP="002A6826">
      <w:r>
        <w:separator/>
      </w:r>
    </w:p>
  </w:endnote>
  <w:endnote w:type="continuationSeparator" w:id="0">
    <w:p w14:paraId="3626BC40" w14:textId="77777777" w:rsidR="001F70DD" w:rsidRDefault="001F70DD"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C54A" w14:textId="77777777" w:rsidR="00E46441" w:rsidRDefault="00E46441"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E46441" w14:paraId="7ABC12EA" w14:textId="77777777">
      <w:tc>
        <w:tcPr>
          <w:tcW w:w="918" w:type="dxa"/>
        </w:tcPr>
        <w:p w14:paraId="485F5956" w14:textId="77777777" w:rsidR="00E46441" w:rsidRDefault="00E46441">
          <w:pPr>
            <w:pStyle w:val="Pieddepage"/>
            <w:jc w:val="right"/>
            <w:rPr>
              <w:b/>
              <w:bCs/>
              <w:color w:val="4F81BD" w:themeColor="accent1"/>
              <w:sz w:val="32"/>
              <w:szCs w:val="32"/>
              <w14:numForm w14:val="oldStyle"/>
            </w:rPr>
          </w:pPr>
          <w:r w:rsidRPr="007641E5">
            <w:rPr>
              <w:szCs w:val="21"/>
              <w14:shadow w14:blurRad="50800" w14:dist="38100" w14:dir="2700000" w14:sx="100000" w14:sy="100000" w14:kx="0" w14:ky="0" w14:algn="tl">
                <w14:srgbClr w14:val="000000">
                  <w14:alpha w14:val="60000"/>
                </w14:srgbClr>
              </w14:shadow>
              <w14:numForm w14:val="oldStyle"/>
            </w:rPr>
            <w:fldChar w:fldCharType="begin"/>
          </w:r>
          <w:r w:rsidRPr="007641E5">
            <w:rPr>
              <w:sz w:val="10"/>
              <w14:shadow w14:blurRad="50800" w14:dist="38100" w14:dir="2700000" w14:sx="100000" w14:sy="100000" w14:kx="0" w14:ky="0" w14:algn="tl">
                <w14:srgbClr w14:val="000000">
                  <w14:alpha w14:val="60000"/>
                </w14:srgbClr>
              </w14:shadow>
              <w14:numForm w14:val="oldStyle"/>
            </w:rPr>
            <w:instrText>PAGE   \* MERGEFORMAT</w:instrText>
          </w:r>
          <w:r w:rsidRPr="007641E5">
            <w:rPr>
              <w:szCs w:val="21"/>
              <w14:shadow w14:blurRad="50800" w14:dist="38100" w14:dir="2700000" w14:sx="100000" w14:sy="100000" w14:kx="0" w14:ky="0" w14:algn="tl">
                <w14:srgbClr w14:val="000000">
                  <w14:alpha w14:val="60000"/>
                </w14:srgbClr>
              </w14:shadow>
              <w14:numForm w14:val="oldStyle"/>
            </w:rPr>
            <w:fldChar w:fldCharType="separate"/>
          </w:r>
          <w:r w:rsidR="003B433B" w:rsidRPr="003B433B">
            <w:rPr>
              <w:b/>
              <w:bCs/>
              <w:noProof/>
              <w:color w:val="4F81BD" w:themeColor="accent1"/>
              <w:sz w:val="22"/>
              <w:szCs w:val="32"/>
              <w14:shadow w14:blurRad="50800" w14:dist="38100" w14:dir="2700000" w14:sx="100000" w14:sy="100000" w14:kx="0" w14:ky="0" w14:algn="tl">
                <w14:srgbClr w14:val="000000">
                  <w14:alpha w14:val="60000"/>
                </w14:srgbClr>
              </w14:shadow>
              <w14:numForm w14:val="oldStyle"/>
            </w:rPr>
            <w:t>1</w:t>
          </w:r>
          <w:r w:rsidRPr="007641E5">
            <w:rPr>
              <w:b/>
              <w:bCs/>
              <w:color w:val="4F81BD" w:themeColor="accent1"/>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CF324E4" w14:textId="6085CAC0" w:rsidR="00E46441" w:rsidRDefault="00E46441" w:rsidP="00F86D75">
          <w:pPr>
            <w:tabs>
              <w:tab w:val="center" w:pos="4536"/>
              <w:tab w:val="right" w:pos="9072"/>
            </w:tabs>
            <w:spacing w:after="0"/>
            <w:ind w:left="0" w:right="360"/>
            <w:rPr>
              <w:rFonts w:ascii="Times New Roman" w:eastAsia="Times New Roman" w:hAnsi="Times New Roman" w:cs="Times New Roman"/>
              <w:i/>
              <w:iCs/>
              <w:sz w:val="24"/>
              <w:szCs w:val="24"/>
            </w:rPr>
          </w:pPr>
          <w:r w:rsidRPr="00F86D75">
            <w:rPr>
              <w:rFonts w:ascii="Times New Roman" w:eastAsia="Times New Roman" w:hAnsi="Times New Roman" w:cs="Times New Roman"/>
              <w:i/>
              <w:iCs/>
              <w:sz w:val="24"/>
              <w:szCs w:val="24"/>
            </w:rPr>
            <w:t>Service juridique AVH</w:t>
          </w:r>
          <w:r w:rsidR="00FE4E67">
            <w:rPr>
              <w:rFonts w:ascii="Times New Roman" w:eastAsia="Times New Roman" w:hAnsi="Times New Roman" w:cs="Times New Roman"/>
              <w:i/>
              <w:iCs/>
              <w:sz w:val="24"/>
              <w:szCs w:val="24"/>
            </w:rPr>
            <w:t xml:space="preserve">                                               </w:t>
          </w:r>
          <w:r w:rsidR="00374C62">
            <w:rPr>
              <w:rFonts w:ascii="Times New Roman" w:eastAsia="Times New Roman" w:hAnsi="Times New Roman" w:cs="Times New Roman"/>
              <w:i/>
              <w:iCs/>
              <w:sz w:val="24"/>
              <w:szCs w:val="24"/>
            </w:rPr>
            <w:t xml:space="preserve">                           </w:t>
          </w:r>
          <w:r w:rsidR="00DD66F3">
            <w:rPr>
              <w:rFonts w:ascii="Times New Roman" w:eastAsia="Times New Roman" w:hAnsi="Times New Roman" w:cs="Times New Roman"/>
              <w:i/>
              <w:iCs/>
              <w:sz w:val="24"/>
              <w:szCs w:val="24"/>
            </w:rPr>
            <w:t>01</w:t>
          </w:r>
          <w:r w:rsidR="00B4698E">
            <w:rPr>
              <w:rFonts w:ascii="Times New Roman" w:eastAsia="Times New Roman" w:hAnsi="Times New Roman" w:cs="Times New Roman"/>
              <w:i/>
              <w:iCs/>
              <w:sz w:val="24"/>
              <w:szCs w:val="24"/>
            </w:rPr>
            <w:t>/</w:t>
          </w:r>
          <w:r w:rsidR="00522A10">
            <w:rPr>
              <w:rFonts w:ascii="Times New Roman" w:eastAsia="Times New Roman" w:hAnsi="Times New Roman" w:cs="Times New Roman"/>
              <w:i/>
              <w:iCs/>
              <w:sz w:val="24"/>
              <w:szCs w:val="24"/>
            </w:rPr>
            <w:t>11/</w:t>
          </w:r>
          <w:r w:rsidR="00E42927">
            <w:rPr>
              <w:rFonts w:ascii="Times New Roman" w:eastAsia="Times New Roman" w:hAnsi="Times New Roman" w:cs="Times New Roman"/>
              <w:i/>
              <w:iCs/>
              <w:sz w:val="24"/>
              <w:szCs w:val="24"/>
            </w:rPr>
            <w:t>2</w:t>
          </w:r>
          <w:r w:rsidR="00522A10">
            <w:rPr>
              <w:rFonts w:ascii="Times New Roman" w:eastAsia="Times New Roman" w:hAnsi="Times New Roman" w:cs="Times New Roman"/>
              <w:i/>
              <w:iCs/>
              <w:sz w:val="24"/>
              <w:szCs w:val="24"/>
            </w:rPr>
            <w:t>4</w:t>
          </w:r>
        </w:p>
        <w:p w14:paraId="66DB00D7" w14:textId="578B09CB" w:rsidR="00FE4E67" w:rsidRPr="00FE4E67" w:rsidRDefault="00FE4E67" w:rsidP="00FE4E67">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Fiche n° 13  PCH et APA </w:t>
          </w:r>
        </w:p>
      </w:tc>
    </w:tr>
  </w:tbl>
  <w:p w14:paraId="1C2EA0E8" w14:textId="77777777" w:rsidR="00E46441" w:rsidRPr="007641E5" w:rsidRDefault="00E46441" w:rsidP="007641E5">
    <w:pPr>
      <w:pStyle w:val="Pieddepage"/>
      <w:rPr>
        <w:color w:val="0F243E" w:themeColor="text2" w:themeShade="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ED5C8" w14:textId="77777777" w:rsidR="001F70DD" w:rsidRDefault="001F70DD" w:rsidP="002A6826">
      <w:r>
        <w:separator/>
      </w:r>
    </w:p>
  </w:footnote>
  <w:footnote w:type="continuationSeparator" w:id="0">
    <w:p w14:paraId="7A8C9EE2" w14:textId="77777777" w:rsidR="001F70DD" w:rsidRDefault="001F70DD" w:rsidP="002A6826">
      <w:r>
        <w:continuationSeparator/>
      </w:r>
    </w:p>
  </w:footnote>
  <w:footnote w:id="1">
    <w:p w14:paraId="5E7B3639" w14:textId="242978E3" w:rsidR="0074041A" w:rsidRDefault="0074041A">
      <w:pPr>
        <w:pStyle w:val="Notedebasdepage"/>
      </w:pPr>
      <w:r>
        <w:rPr>
          <w:rStyle w:val="Appelnotedebasdep"/>
        </w:rPr>
        <w:footnoteRef/>
      </w:r>
      <w:r>
        <w:t xml:space="preserve"> Montant de la MTP au 1</w:t>
      </w:r>
      <w:r w:rsidRPr="0074041A">
        <w:rPr>
          <w:vertAlign w:val="superscript"/>
        </w:rPr>
        <w:t>er</w:t>
      </w:r>
      <w:r>
        <w:t xml:space="preserve"> avril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6F57" w14:textId="77777777" w:rsidR="00E46441" w:rsidRDefault="003C311E">
    <w:pPr>
      <w:pStyle w:val="En-tte"/>
    </w:pPr>
    <w:r>
      <w:rPr>
        <w:noProof/>
      </w:rPr>
      <w:drawing>
        <wp:inline distT="0" distB="0" distL="0" distR="0" wp14:anchorId="2AC8ACF5" wp14:editId="732AB51B">
          <wp:extent cx="1783080" cy="967740"/>
          <wp:effectExtent l="0" t="0" r="7620" b="3810"/>
          <wp:docPr id="2" name="Image 2" descr="Logo Valentin Haüy&#10;Avec les aveugles et les malvoy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 Valentin Haüy&#10;Avec les aveugles et les malvoyants"/>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F94A38"/>
    <w:multiLevelType w:val="hybridMultilevel"/>
    <w:tmpl w:val="89200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27E54BA"/>
    <w:multiLevelType w:val="hybridMultilevel"/>
    <w:tmpl w:val="740EBBC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3AB5BAB"/>
    <w:multiLevelType w:val="hybridMultilevel"/>
    <w:tmpl w:val="E30242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5B058C4"/>
    <w:multiLevelType w:val="hybridMultilevel"/>
    <w:tmpl w:val="42146AF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0DA35400"/>
    <w:multiLevelType w:val="hybridMultilevel"/>
    <w:tmpl w:val="AA3C3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850AA6"/>
    <w:multiLevelType w:val="multilevel"/>
    <w:tmpl w:val="CD70F46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24876F5"/>
    <w:multiLevelType w:val="hybridMultilevel"/>
    <w:tmpl w:val="B1F8052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13753384"/>
    <w:multiLevelType w:val="hybridMultilevel"/>
    <w:tmpl w:val="C406CD1E"/>
    <w:lvl w:ilvl="0" w:tplc="4A4C9F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B193DD1"/>
    <w:multiLevelType w:val="hybridMultilevel"/>
    <w:tmpl w:val="91F624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331553E"/>
    <w:multiLevelType w:val="hybridMultilevel"/>
    <w:tmpl w:val="FD787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372D01"/>
    <w:multiLevelType w:val="hybridMultilevel"/>
    <w:tmpl w:val="973ED3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7E405A6"/>
    <w:multiLevelType w:val="hybridMultilevel"/>
    <w:tmpl w:val="2AEE5030"/>
    <w:lvl w:ilvl="0" w:tplc="4A4C9F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B6F7AF1"/>
    <w:multiLevelType w:val="hybridMultilevel"/>
    <w:tmpl w:val="663ED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F6264"/>
    <w:multiLevelType w:val="hybridMultilevel"/>
    <w:tmpl w:val="067AE5D8"/>
    <w:lvl w:ilvl="0" w:tplc="2A206D8C">
      <w:start w:val="1"/>
      <w:numFmt w:val="bullet"/>
      <w:lvlText w:val="-"/>
      <w:lvlJc w:val="left"/>
      <w:pPr>
        <w:ind w:left="644" w:hanging="360"/>
      </w:pPr>
      <w:rPr>
        <w:rFonts w:ascii="Verdana" w:eastAsia="Verdana"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6"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42C53DE5"/>
    <w:multiLevelType w:val="hybridMultilevel"/>
    <w:tmpl w:val="6094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49051927"/>
    <w:multiLevelType w:val="hybridMultilevel"/>
    <w:tmpl w:val="3364D4AC"/>
    <w:lvl w:ilvl="0" w:tplc="04090001">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4A6A7C90"/>
    <w:multiLevelType w:val="hybridMultilevel"/>
    <w:tmpl w:val="CB786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21" w15:restartNumberingAfterBreak="0">
    <w:nsid w:val="5BD8314E"/>
    <w:multiLevelType w:val="hybridMultilevel"/>
    <w:tmpl w:val="665C4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7557EE"/>
    <w:multiLevelType w:val="hybridMultilevel"/>
    <w:tmpl w:val="04963B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8E4B53"/>
    <w:multiLevelType w:val="hybridMultilevel"/>
    <w:tmpl w:val="CE46CE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4" w15:restartNumberingAfterBreak="0">
    <w:nsid w:val="6A406BDC"/>
    <w:multiLevelType w:val="hybridMultilevel"/>
    <w:tmpl w:val="5E4C16A2"/>
    <w:lvl w:ilvl="0" w:tplc="4A4C9F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ED61972"/>
    <w:multiLevelType w:val="hybridMultilevel"/>
    <w:tmpl w:val="A8207894"/>
    <w:lvl w:ilvl="0" w:tplc="4A4C9F82">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7082632">
    <w:abstractNumId w:val="0"/>
  </w:num>
  <w:num w:numId="2" w16cid:durableId="1903633420">
    <w:abstractNumId w:val="1"/>
  </w:num>
  <w:num w:numId="3" w16cid:durableId="497505767">
    <w:abstractNumId w:val="20"/>
  </w:num>
  <w:num w:numId="4" w16cid:durableId="519246013">
    <w:abstractNumId w:val="18"/>
  </w:num>
  <w:num w:numId="5" w16cid:durableId="870653927">
    <w:abstractNumId w:val="12"/>
  </w:num>
  <w:num w:numId="6" w16cid:durableId="1360164238">
    <w:abstractNumId w:val="17"/>
  </w:num>
  <w:num w:numId="7" w16cid:durableId="1336498511">
    <w:abstractNumId w:val="8"/>
  </w:num>
  <w:num w:numId="8" w16cid:durableId="852689345">
    <w:abstractNumId w:val="3"/>
  </w:num>
  <w:num w:numId="9" w16cid:durableId="2072002276">
    <w:abstractNumId w:val="5"/>
  </w:num>
  <w:num w:numId="10" w16cid:durableId="1452360045">
    <w:abstractNumId w:val="7"/>
  </w:num>
  <w:num w:numId="11" w16cid:durableId="1717854122">
    <w:abstractNumId w:val="16"/>
  </w:num>
  <w:num w:numId="12" w16cid:durableId="1678770349">
    <w:abstractNumId w:val="2"/>
  </w:num>
  <w:num w:numId="13" w16cid:durableId="1004749371">
    <w:abstractNumId w:val="16"/>
  </w:num>
  <w:num w:numId="14" w16cid:durableId="1419982859">
    <w:abstractNumId w:val="23"/>
  </w:num>
  <w:num w:numId="15" w16cid:durableId="718631228">
    <w:abstractNumId w:val="20"/>
    <w:lvlOverride w:ilvl="0">
      <w:startOverride w:val="1"/>
    </w:lvlOverride>
  </w:num>
  <w:num w:numId="16" w16cid:durableId="333654138">
    <w:abstractNumId w:val="20"/>
    <w:lvlOverride w:ilvl="0">
      <w:startOverride w:val="1"/>
    </w:lvlOverride>
  </w:num>
  <w:num w:numId="17" w16cid:durableId="395903026">
    <w:abstractNumId w:val="10"/>
  </w:num>
  <w:num w:numId="18" w16cid:durableId="1404451896">
    <w:abstractNumId w:val="4"/>
  </w:num>
  <w:num w:numId="19" w16cid:durableId="666401398">
    <w:abstractNumId w:val="15"/>
  </w:num>
  <w:num w:numId="20" w16cid:durableId="1763181288">
    <w:abstractNumId w:val="16"/>
  </w:num>
  <w:num w:numId="21" w16cid:durableId="2044094561">
    <w:abstractNumId w:val="9"/>
  </w:num>
  <w:num w:numId="22" w16cid:durableId="1530070982">
    <w:abstractNumId w:val="6"/>
  </w:num>
  <w:num w:numId="23" w16cid:durableId="357707974">
    <w:abstractNumId w:val="25"/>
  </w:num>
  <w:num w:numId="24" w16cid:durableId="219825960">
    <w:abstractNumId w:val="13"/>
  </w:num>
  <w:num w:numId="25" w16cid:durableId="1760906269">
    <w:abstractNumId w:val="19"/>
  </w:num>
  <w:num w:numId="26" w16cid:durableId="583153531">
    <w:abstractNumId w:val="11"/>
  </w:num>
  <w:num w:numId="27" w16cid:durableId="1244490130">
    <w:abstractNumId w:val="24"/>
  </w:num>
  <w:num w:numId="28" w16cid:durableId="1703896273">
    <w:abstractNumId w:val="14"/>
  </w:num>
  <w:num w:numId="29" w16cid:durableId="1671103255">
    <w:abstractNumId w:val="21"/>
  </w:num>
  <w:num w:numId="30" w16cid:durableId="977417257">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52"/>
    <w:rsid w:val="00004730"/>
    <w:rsid w:val="000059CD"/>
    <w:rsid w:val="0000609D"/>
    <w:rsid w:val="00013810"/>
    <w:rsid w:val="00021B9D"/>
    <w:rsid w:val="00022677"/>
    <w:rsid w:val="00024418"/>
    <w:rsid w:val="000336F0"/>
    <w:rsid w:val="00036381"/>
    <w:rsid w:val="000408A7"/>
    <w:rsid w:val="00045997"/>
    <w:rsid w:val="00046BB3"/>
    <w:rsid w:val="00060125"/>
    <w:rsid w:val="0006432C"/>
    <w:rsid w:val="000649C7"/>
    <w:rsid w:val="0006509B"/>
    <w:rsid w:val="000658D6"/>
    <w:rsid w:val="000666DC"/>
    <w:rsid w:val="0006755A"/>
    <w:rsid w:val="00074DED"/>
    <w:rsid w:val="00077897"/>
    <w:rsid w:val="00080769"/>
    <w:rsid w:val="000822E1"/>
    <w:rsid w:val="000827A5"/>
    <w:rsid w:val="00086100"/>
    <w:rsid w:val="0008639F"/>
    <w:rsid w:val="00090598"/>
    <w:rsid w:val="00090AC9"/>
    <w:rsid w:val="00096123"/>
    <w:rsid w:val="0009756B"/>
    <w:rsid w:val="000A2CCD"/>
    <w:rsid w:val="000A3B24"/>
    <w:rsid w:val="000B008B"/>
    <w:rsid w:val="000B0D11"/>
    <w:rsid w:val="000B1E82"/>
    <w:rsid w:val="000B3A34"/>
    <w:rsid w:val="000B3FA3"/>
    <w:rsid w:val="000C4177"/>
    <w:rsid w:val="000C5DBC"/>
    <w:rsid w:val="000D0352"/>
    <w:rsid w:val="000D34E8"/>
    <w:rsid w:val="000E0678"/>
    <w:rsid w:val="000E28CA"/>
    <w:rsid w:val="000F22BE"/>
    <w:rsid w:val="000F3D22"/>
    <w:rsid w:val="001002E0"/>
    <w:rsid w:val="00100D39"/>
    <w:rsid w:val="00101CE4"/>
    <w:rsid w:val="00106BF8"/>
    <w:rsid w:val="00107F8F"/>
    <w:rsid w:val="00112629"/>
    <w:rsid w:val="00114025"/>
    <w:rsid w:val="00116347"/>
    <w:rsid w:val="00120F84"/>
    <w:rsid w:val="00121D01"/>
    <w:rsid w:val="00124034"/>
    <w:rsid w:val="001326E0"/>
    <w:rsid w:val="001327EE"/>
    <w:rsid w:val="00134BE6"/>
    <w:rsid w:val="00135929"/>
    <w:rsid w:val="00136490"/>
    <w:rsid w:val="00142479"/>
    <w:rsid w:val="0014548E"/>
    <w:rsid w:val="0015072C"/>
    <w:rsid w:val="001563B1"/>
    <w:rsid w:val="00163BAC"/>
    <w:rsid w:val="0016465A"/>
    <w:rsid w:val="0016481A"/>
    <w:rsid w:val="00165C9C"/>
    <w:rsid w:val="00166E8A"/>
    <w:rsid w:val="00171B0B"/>
    <w:rsid w:val="0017327C"/>
    <w:rsid w:val="00186E9A"/>
    <w:rsid w:val="00194F6C"/>
    <w:rsid w:val="001A1B8F"/>
    <w:rsid w:val="001A6478"/>
    <w:rsid w:val="001B1931"/>
    <w:rsid w:val="001B51C8"/>
    <w:rsid w:val="001B7642"/>
    <w:rsid w:val="001C1C03"/>
    <w:rsid w:val="001D7635"/>
    <w:rsid w:val="001E78BF"/>
    <w:rsid w:val="001F1AD7"/>
    <w:rsid w:val="001F32B7"/>
    <w:rsid w:val="001F4223"/>
    <w:rsid w:val="001F70DD"/>
    <w:rsid w:val="001F7132"/>
    <w:rsid w:val="002000BC"/>
    <w:rsid w:val="00200BED"/>
    <w:rsid w:val="002032E9"/>
    <w:rsid w:val="002040E9"/>
    <w:rsid w:val="00206FF6"/>
    <w:rsid w:val="00210B09"/>
    <w:rsid w:val="0021469B"/>
    <w:rsid w:val="00221901"/>
    <w:rsid w:val="00225D30"/>
    <w:rsid w:val="00232746"/>
    <w:rsid w:val="0023327D"/>
    <w:rsid w:val="002337C3"/>
    <w:rsid w:val="002341C0"/>
    <w:rsid w:val="0023482E"/>
    <w:rsid w:val="00235ABE"/>
    <w:rsid w:val="0023684A"/>
    <w:rsid w:val="00241B0F"/>
    <w:rsid w:val="002431CD"/>
    <w:rsid w:val="00243785"/>
    <w:rsid w:val="00244637"/>
    <w:rsid w:val="00247E50"/>
    <w:rsid w:val="002601D6"/>
    <w:rsid w:val="00260E4D"/>
    <w:rsid w:val="0026409F"/>
    <w:rsid w:val="002659C9"/>
    <w:rsid w:val="0026612C"/>
    <w:rsid w:val="00267021"/>
    <w:rsid w:val="00267187"/>
    <w:rsid w:val="00267CFC"/>
    <w:rsid w:val="002706D3"/>
    <w:rsid w:val="00272224"/>
    <w:rsid w:val="00273E4A"/>
    <w:rsid w:val="00275779"/>
    <w:rsid w:val="00276AD1"/>
    <w:rsid w:val="00276F36"/>
    <w:rsid w:val="002770C7"/>
    <w:rsid w:val="00281B4A"/>
    <w:rsid w:val="0028462C"/>
    <w:rsid w:val="002855E4"/>
    <w:rsid w:val="002879AF"/>
    <w:rsid w:val="00290232"/>
    <w:rsid w:val="00292650"/>
    <w:rsid w:val="00293D14"/>
    <w:rsid w:val="00296B25"/>
    <w:rsid w:val="00297FDB"/>
    <w:rsid w:val="002A252B"/>
    <w:rsid w:val="002A3B72"/>
    <w:rsid w:val="002A630B"/>
    <w:rsid w:val="002A6826"/>
    <w:rsid w:val="002A7FA9"/>
    <w:rsid w:val="002B5410"/>
    <w:rsid w:val="002C6B7C"/>
    <w:rsid w:val="002C6EB7"/>
    <w:rsid w:val="002C70F6"/>
    <w:rsid w:val="002C77FC"/>
    <w:rsid w:val="002D3928"/>
    <w:rsid w:val="002D3C12"/>
    <w:rsid w:val="002E6BD2"/>
    <w:rsid w:val="002E7C88"/>
    <w:rsid w:val="002F0D0E"/>
    <w:rsid w:val="002F25D7"/>
    <w:rsid w:val="002F6985"/>
    <w:rsid w:val="002F77C3"/>
    <w:rsid w:val="00307610"/>
    <w:rsid w:val="003100D2"/>
    <w:rsid w:val="00310810"/>
    <w:rsid w:val="00312037"/>
    <w:rsid w:val="00316F3E"/>
    <w:rsid w:val="00317040"/>
    <w:rsid w:val="003176A2"/>
    <w:rsid w:val="00321F7D"/>
    <w:rsid w:val="003225F8"/>
    <w:rsid w:val="00324BA0"/>
    <w:rsid w:val="00330060"/>
    <w:rsid w:val="003321B4"/>
    <w:rsid w:val="00336671"/>
    <w:rsid w:val="00336F67"/>
    <w:rsid w:val="00344A26"/>
    <w:rsid w:val="00346287"/>
    <w:rsid w:val="00350ADF"/>
    <w:rsid w:val="0035333E"/>
    <w:rsid w:val="00353DB4"/>
    <w:rsid w:val="003566ED"/>
    <w:rsid w:val="00356C7D"/>
    <w:rsid w:val="00362AD3"/>
    <w:rsid w:val="003631B7"/>
    <w:rsid w:val="00364790"/>
    <w:rsid w:val="003652ED"/>
    <w:rsid w:val="00374C62"/>
    <w:rsid w:val="00375A9D"/>
    <w:rsid w:val="00380AF0"/>
    <w:rsid w:val="00386482"/>
    <w:rsid w:val="00386C70"/>
    <w:rsid w:val="00393816"/>
    <w:rsid w:val="00396B4E"/>
    <w:rsid w:val="003974C9"/>
    <w:rsid w:val="003A344D"/>
    <w:rsid w:val="003A4CF0"/>
    <w:rsid w:val="003A4E3B"/>
    <w:rsid w:val="003B22D3"/>
    <w:rsid w:val="003B2E7A"/>
    <w:rsid w:val="003B3F6B"/>
    <w:rsid w:val="003B4319"/>
    <w:rsid w:val="003B433B"/>
    <w:rsid w:val="003B71B3"/>
    <w:rsid w:val="003B7ABB"/>
    <w:rsid w:val="003B7F80"/>
    <w:rsid w:val="003C311E"/>
    <w:rsid w:val="003C3C3E"/>
    <w:rsid w:val="003C50D4"/>
    <w:rsid w:val="003C5521"/>
    <w:rsid w:val="003C5E2D"/>
    <w:rsid w:val="003C67F2"/>
    <w:rsid w:val="003D1CCF"/>
    <w:rsid w:val="003D37F6"/>
    <w:rsid w:val="003D55BD"/>
    <w:rsid w:val="003E01FD"/>
    <w:rsid w:val="003E1A2B"/>
    <w:rsid w:val="003E3ABD"/>
    <w:rsid w:val="003E52C4"/>
    <w:rsid w:val="003E56D8"/>
    <w:rsid w:val="003E7F9F"/>
    <w:rsid w:val="003F3B6A"/>
    <w:rsid w:val="003F70F1"/>
    <w:rsid w:val="0040197A"/>
    <w:rsid w:val="00404C46"/>
    <w:rsid w:val="004056F9"/>
    <w:rsid w:val="0040676C"/>
    <w:rsid w:val="00407974"/>
    <w:rsid w:val="00410674"/>
    <w:rsid w:val="004123D7"/>
    <w:rsid w:val="00412A48"/>
    <w:rsid w:val="00415898"/>
    <w:rsid w:val="00424521"/>
    <w:rsid w:val="00427C89"/>
    <w:rsid w:val="00431CAB"/>
    <w:rsid w:val="00431DFC"/>
    <w:rsid w:val="0043200C"/>
    <w:rsid w:val="004476D9"/>
    <w:rsid w:val="00453C66"/>
    <w:rsid w:val="00453FBF"/>
    <w:rsid w:val="00456D15"/>
    <w:rsid w:val="004645E2"/>
    <w:rsid w:val="004648D8"/>
    <w:rsid w:val="004701BB"/>
    <w:rsid w:val="004727ED"/>
    <w:rsid w:val="00472ED6"/>
    <w:rsid w:val="00480642"/>
    <w:rsid w:val="004850D6"/>
    <w:rsid w:val="00490ADB"/>
    <w:rsid w:val="004A2D8D"/>
    <w:rsid w:val="004A2DDC"/>
    <w:rsid w:val="004A55BA"/>
    <w:rsid w:val="004B1254"/>
    <w:rsid w:val="004B20A9"/>
    <w:rsid w:val="004B33A2"/>
    <w:rsid w:val="004B4378"/>
    <w:rsid w:val="004B58BE"/>
    <w:rsid w:val="004C363A"/>
    <w:rsid w:val="004C4B8E"/>
    <w:rsid w:val="004E1EE5"/>
    <w:rsid w:val="004F2164"/>
    <w:rsid w:val="004F6C85"/>
    <w:rsid w:val="0050360C"/>
    <w:rsid w:val="00505598"/>
    <w:rsid w:val="00507976"/>
    <w:rsid w:val="00514983"/>
    <w:rsid w:val="00515B50"/>
    <w:rsid w:val="00515D58"/>
    <w:rsid w:val="00522A10"/>
    <w:rsid w:val="00522B23"/>
    <w:rsid w:val="00522EB0"/>
    <w:rsid w:val="005231F5"/>
    <w:rsid w:val="00524452"/>
    <w:rsid w:val="00525F2B"/>
    <w:rsid w:val="00531CD6"/>
    <w:rsid w:val="005376EE"/>
    <w:rsid w:val="005421BA"/>
    <w:rsid w:val="0054444A"/>
    <w:rsid w:val="00546774"/>
    <w:rsid w:val="005531D0"/>
    <w:rsid w:val="005537E8"/>
    <w:rsid w:val="00554867"/>
    <w:rsid w:val="005552E8"/>
    <w:rsid w:val="005623F6"/>
    <w:rsid w:val="005648F0"/>
    <w:rsid w:val="005663A9"/>
    <w:rsid w:val="0056664A"/>
    <w:rsid w:val="00567414"/>
    <w:rsid w:val="00571137"/>
    <w:rsid w:val="005740E2"/>
    <w:rsid w:val="005742B7"/>
    <w:rsid w:val="005757BD"/>
    <w:rsid w:val="00576FD3"/>
    <w:rsid w:val="00592CF7"/>
    <w:rsid w:val="0059312F"/>
    <w:rsid w:val="00596C53"/>
    <w:rsid w:val="005A2339"/>
    <w:rsid w:val="005B2AE2"/>
    <w:rsid w:val="005B5433"/>
    <w:rsid w:val="005C080D"/>
    <w:rsid w:val="005C0D44"/>
    <w:rsid w:val="005C3A45"/>
    <w:rsid w:val="005D18AF"/>
    <w:rsid w:val="005D2B90"/>
    <w:rsid w:val="005D3E9F"/>
    <w:rsid w:val="005D646F"/>
    <w:rsid w:val="005D6DFB"/>
    <w:rsid w:val="005E3D8D"/>
    <w:rsid w:val="005E3E81"/>
    <w:rsid w:val="005E7D85"/>
    <w:rsid w:val="005F4133"/>
    <w:rsid w:val="005F6397"/>
    <w:rsid w:val="005F706B"/>
    <w:rsid w:val="005F790C"/>
    <w:rsid w:val="00601D4F"/>
    <w:rsid w:val="006024E4"/>
    <w:rsid w:val="00604929"/>
    <w:rsid w:val="006063D4"/>
    <w:rsid w:val="00606919"/>
    <w:rsid w:val="00612554"/>
    <w:rsid w:val="0062019E"/>
    <w:rsid w:val="00621289"/>
    <w:rsid w:val="00621D93"/>
    <w:rsid w:val="00626378"/>
    <w:rsid w:val="00630EEC"/>
    <w:rsid w:val="006370E5"/>
    <w:rsid w:val="00642D46"/>
    <w:rsid w:val="00645862"/>
    <w:rsid w:val="00652B47"/>
    <w:rsid w:val="00653183"/>
    <w:rsid w:val="006532CA"/>
    <w:rsid w:val="00655F2D"/>
    <w:rsid w:val="00673151"/>
    <w:rsid w:val="00680283"/>
    <w:rsid w:val="00681D9E"/>
    <w:rsid w:val="006826EE"/>
    <w:rsid w:val="00683381"/>
    <w:rsid w:val="00684A80"/>
    <w:rsid w:val="006850D1"/>
    <w:rsid w:val="00690C03"/>
    <w:rsid w:val="0069172A"/>
    <w:rsid w:val="00693B99"/>
    <w:rsid w:val="006A21ED"/>
    <w:rsid w:val="006A3176"/>
    <w:rsid w:val="006A388C"/>
    <w:rsid w:val="006A6547"/>
    <w:rsid w:val="006A6D0B"/>
    <w:rsid w:val="006B4B0C"/>
    <w:rsid w:val="006B5E5D"/>
    <w:rsid w:val="006B68BF"/>
    <w:rsid w:val="006C159A"/>
    <w:rsid w:val="006C1966"/>
    <w:rsid w:val="006C5190"/>
    <w:rsid w:val="006C6772"/>
    <w:rsid w:val="006C7450"/>
    <w:rsid w:val="006D2CCD"/>
    <w:rsid w:val="006D32AF"/>
    <w:rsid w:val="006E06A1"/>
    <w:rsid w:val="006E1294"/>
    <w:rsid w:val="006E2F3B"/>
    <w:rsid w:val="006E3060"/>
    <w:rsid w:val="006E6286"/>
    <w:rsid w:val="006E7AE4"/>
    <w:rsid w:val="006F087D"/>
    <w:rsid w:val="006F09C9"/>
    <w:rsid w:val="006F4135"/>
    <w:rsid w:val="006F4F57"/>
    <w:rsid w:val="007004F0"/>
    <w:rsid w:val="00704628"/>
    <w:rsid w:val="00704BE2"/>
    <w:rsid w:val="007065D5"/>
    <w:rsid w:val="00712F9F"/>
    <w:rsid w:val="00714CAD"/>
    <w:rsid w:val="00715789"/>
    <w:rsid w:val="00715981"/>
    <w:rsid w:val="00717790"/>
    <w:rsid w:val="00724638"/>
    <w:rsid w:val="007258A9"/>
    <w:rsid w:val="00727B7E"/>
    <w:rsid w:val="0073270F"/>
    <w:rsid w:val="0074041A"/>
    <w:rsid w:val="007405DF"/>
    <w:rsid w:val="00740F90"/>
    <w:rsid w:val="007419E4"/>
    <w:rsid w:val="0074424F"/>
    <w:rsid w:val="0074438B"/>
    <w:rsid w:val="00745908"/>
    <w:rsid w:val="00750768"/>
    <w:rsid w:val="0075108B"/>
    <w:rsid w:val="00753629"/>
    <w:rsid w:val="00754210"/>
    <w:rsid w:val="007558E6"/>
    <w:rsid w:val="00762854"/>
    <w:rsid w:val="0076369D"/>
    <w:rsid w:val="007641E5"/>
    <w:rsid w:val="0077181F"/>
    <w:rsid w:val="00775947"/>
    <w:rsid w:val="00775981"/>
    <w:rsid w:val="0077613F"/>
    <w:rsid w:val="00777262"/>
    <w:rsid w:val="00782582"/>
    <w:rsid w:val="00783516"/>
    <w:rsid w:val="007836B9"/>
    <w:rsid w:val="00783B26"/>
    <w:rsid w:val="00785A6B"/>
    <w:rsid w:val="007871E9"/>
    <w:rsid w:val="00792BC5"/>
    <w:rsid w:val="00793ED1"/>
    <w:rsid w:val="00795E97"/>
    <w:rsid w:val="00797C3D"/>
    <w:rsid w:val="007A1EB8"/>
    <w:rsid w:val="007A6370"/>
    <w:rsid w:val="007A6A2F"/>
    <w:rsid w:val="007A6FB9"/>
    <w:rsid w:val="007B40AE"/>
    <w:rsid w:val="007C0F26"/>
    <w:rsid w:val="007C12C7"/>
    <w:rsid w:val="007C311D"/>
    <w:rsid w:val="007C595B"/>
    <w:rsid w:val="007C7182"/>
    <w:rsid w:val="007D10BD"/>
    <w:rsid w:val="007D244B"/>
    <w:rsid w:val="007D4D7C"/>
    <w:rsid w:val="007D543A"/>
    <w:rsid w:val="007D7594"/>
    <w:rsid w:val="007E2AC8"/>
    <w:rsid w:val="007E3692"/>
    <w:rsid w:val="007E3AED"/>
    <w:rsid w:val="007E5093"/>
    <w:rsid w:val="007E7F58"/>
    <w:rsid w:val="007F1CFF"/>
    <w:rsid w:val="007F3FF9"/>
    <w:rsid w:val="007F6A3D"/>
    <w:rsid w:val="007F6BE4"/>
    <w:rsid w:val="008009BB"/>
    <w:rsid w:val="008014C3"/>
    <w:rsid w:val="00801C70"/>
    <w:rsid w:val="008101A0"/>
    <w:rsid w:val="0081232A"/>
    <w:rsid w:val="00812E6F"/>
    <w:rsid w:val="008154CE"/>
    <w:rsid w:val="0081621F"/>
    <w:rsid w:val="008179DA"/>
    <w:rsid w:val="00820FC5"/>
    <w:rsid w:val="00826EA7"/>
    <w:rsid w:val="00834381"/>
    <w:rsid w:val="00834827"/>
    <w:rsid w:val="008353EC"/>
    <w:rsid w:val="00835DCB"/>
    <w:rsid w:val="00836FC1"/>
    <w:rsid w:val="00837ABA"/>
    <w:rsid w:val="00843D01"/>
    <w:rsid w:val="00844A41"/>
    <w:rsid w:val="008456DB"/>
    <w:rsid w:val="00850601"/>
    <w:rsid w:val="008546CD"/>
    <w:rsid w:val="0085542A"/>
    <w:rsid w:val="00855767"/>
    <w:rsid w:val="00856D1B"/>
    <w:rsid w:val="00860B39"/>
    <w:rsid w:val="00863D9F"/>
    <w:rsid w:val="00864B18"/>
    <w:rsid w:val="008719D6"/>
    <w:rsid w:val="008721BB"/>
    <w:rsid w:val="00873873"/>
    <w:rsid w:val="00890E6C"/>
    <w:rsid w:val="00894450"/>
    <w:rsid w:val="00894829"/>
    <w:rsid w:val="0089499A"/>
    <w:rsid w:val="00897C67"/>
    <w:rsid w:val="008A10A6"/>
    <w:rsid w:val="008A6B37"/>
    <w:rsid w:val="008B1989"/>
    <w:rsid w:val="008C0C47"/>
    <w:rsid w:val="008C0F9B"/>
    <w:rsid w:val="008C52AD"/>
    <w:rsid w:val="008D2B18"/>
    <w:rsid w:val="008D2C9D"/>
    <w:rsid w:val="008D642E"/>
    <w:rsid w:val="008E3F18"/>
    <w:rsid w:val="008E4AB7"/>
    <w:rsid w:val="008E605F"/>
    <w:rsid w:val="008E639D"/>
    <w:rsid w:val="008F10FF"/>
    <w:rsid w:val="008F1B48"/>
    <w:rsid w:val="0090200B"/>
    <w:rsid w:val="0090523B"/>
    <w:rsid w:val="00905DE2"/>
    <w:rsid w:val="00906A35"/>
    <w:rsid w:val="009078DF"/>
    <w:rsid w:val="00911AAB"/>
    <w:rsid w:val="00912C21"/>
    <w:rsid w:val="00912F93"/>
    <w:rsid w:val="00913F44"/>
    <w:rsid w:val="0091475C"/>
    <w:rsid w:val="00915069"/>
    <w:rsid w:val="00916882"/>
    <w:rsid w:val="00937B6E"/>
    <w:rsid w:val="0094098B"/>
    <w:rsid w:val="00942729"/>
    <w:rsid w:val="00945CE5"/>
    <w:rsid w:val="009502A6"/>
    <w:rsid w:val="00951B2F"/>
    <w:rsid w:val="00951C40"/>
    <w:rsid w:val="009531E4"/>
    <w:rsid w:val="00956775"/>
    <w:rsid w:val="00957BDB"/>
    <w:rsid w:val="0096043C"/>
    <w:rsid w:val="0096049C"/>
    <w:rsid w:val="00963277"/>
    <w:rsid w:val="00964CF2"/>
    <w:rsid w:val="00964D9C"/>
    <w:rsid w:val="009666E4"/>
    <w:rsid w:val="00966D74"/>
    <w:rsid w:val="00971111"/>
    <w:rsid w:val="00972A5E"/>
    <w:rsid w:val="009757CE"/>
    <w:rsid w:val="009776B1"/>
    <w:rsid w:val="00981D03"/>
    <w:rsid w:val="00985202"/>
    <w:rsid w:val="009866B5"/>
    <w:rsid w:val="00990256"/>
    <w:rsid w:val="009913DF"/>
    <w:rsid w:val="009922BE"/>
    <w:rsid w:val="00995260"/>
    <w:rsid w:val="0099638C"/>
    <w:rsid w:val="009A1B67"/>
    <w:rsid w:val="009A3FD9"/>
    <w:rsid w:val="009A53E5"/>
    <w:rsid w:val="009A5CE2"/>
    <w:rsid w:val="009B39C8"/>
    <w:rsid w:val="009B4AEB"/>
    <w:rsid w:val="009C292F"/>
    <w:rsid w:val="009C3828"/>
    <w:rsid w:val="009C519A"/>
    <w:rsid w:val="009C583E"/>
    <w:rsid w:val="009C6C28"/>
    <w:rsid w:val="009D241A"/>
    <w:rsid w:val="009D40A1"/>
    <w:rsid w:val="009D6BB8"/>
    <w:rsid w:val="009E5815"/>
    <w:rsid w:val="009E6F22"/>
    <w:rsid w:val="009E70CB"/>
    <w:rsid w:val="009F02FA"/>
    <w:rsid w:val="009F18A3"/>
    <w:rsid w:val="009F2133"/>
    <w:rsid w:val="009F2351"/>
    <w:rsid w:val="009F33E1"/>
    <w:rsid w:val="009F3EED"/>
    <w:rsid w:val="00A02F30"/>
    <w:rsid w:val="00A05444"/>
    <w:rsid w:val="00A054C9"/>
    <w:rsid w:val="00A06C23"/>
    <w:rsid w:val="00A06DC9"/>
    <w:rsid w:val="00A07144"/>
    <w:rsid w:val="00A13D70"/>
    <w:rsid w:val="00A167CC"/>
    <w:rsid w:val="00A17B55"/>
    <w:rsid w:val="00A20356"/>
    <w:rsid w:val="00A214E3"/>
    <w:rsid w:val="00A22AD8"/>
    <w:rsid w:val="00A24F9B"/>
    <w:rsid w:val="00A275EA"/>
    <w:rsid w:val="00A30357"/>
    <w:rsid w:val="00A36188"/>
    <w:rsid w:val="00A36728"/>
    <w:rsid w:val="00A36F17"/>
    <w:rsid w:val="00A37F16"/>
    <w:rsid w:val="00A4008A"/>
    <w:rsid w:val="00A40501"/>
    <w:rsid w:val="00A44BDE"/>
    <w:rsid w:val="00A458C8"/>
    <w:rsid w:val="00A47248"/>
    <w:rsid w:val="00A5283D"/>
    <w:rsid w:val="00A56B21"/>
    <w:rsid w:val="00A5770D"/>
    <w:rsid w:val="00A62AD5"/>
    <w:rsid w:val="00A676DC"/>
    <w:rsid w:val="00A717D5"/>
    <w:rsid w:val="00A73BD4"/>
    <w:rsid w:val="00A73FD8"/>
    <w:rsid w:val="00A843DE"/>
    <w:rsid w:val="00A929E9"/>
    <w:rsid w:val="00A92EA4"/>
    <w:rsid w:val="00A93E23"/>
    <w:rsid w:val="00A95F6D"/>
    <w:rsid w:val="00A969D0"/>
    <w:rsid w:val="00A96F92"/>
    <w:rsid w:val="00AA3D46"/>
    <w:rsid w:val="00AA3E65"/>
    <w:rsid w:val="00AA52A4"/>
    <w:rsid w:val="00AB44F0"/>
    <w:rsid w:val="00AC096F"/>
    <w:rsid w:val="00AC7F79"/>
    <w:rsid w:val="00AD0BD3"/>
    <w:rsid w:val="00AD4956"/>
    <w:rsid w:val="00AE4A66"/>
    <w:rsid w:val="00AE5B5C"/>
    <w:rsid w:val="00B006FE"/>
    <w:rsid w:val="00B013AB"/>
    <w:rsid w:val="00B0369D"/>
    <w:rsid w:val="00B05C9C"/>
    <w:rsid w:val="00B06B92"/>
    <w:rsid w:val="00B11576"/>
    <w:rsid w:val="00B1514C"/>
    <w:rsid w:val="00B17516"/>
    <w:rsid w:val="00B24A0A"/>
    <w:rsid w:val="00B30220"/>
    <w:rsid w:val="00B31D00"/>
    <w:rsid w:val="00B3536B"/>
    <w:rsid w:val="00B371D7"/>
    <w:rsid w:val="00B40D49"/>
    <w:rsid w:val="00B4698E"/>
    <w:rsid w:val="00B50260"/>
    <w:rsid w:val="00B510A1"/>
    <w:rsid w:val="00B51F08"/>
    <w:rsid w:val="00B52187"/>
    <w:rsid w:val="00B53456"/>
    <w:rsid w:val="00B538C6"/>
    <w:rsid w:val="00B54145"/>
    <w:rsid w:val="00B5415C"/>
    <w:rsid w:val="00B553EF"/>
    <w:rsid w:val="00B55E95"/>
    <w:rsid w:val="00B574ED"/>
    <w:rsid w:val="00B60D84"/>
    <w:rsid w:val="00B617D1"/>
    <w:rsid w:val="00B63A99"/>
    <w:rsid w:val="00B648D0"/>
    <w:rsid w:val="00B653BC"/>
    <w:rsid w:val="00B71156"/>
    <w:rsid w:val="00B71A80"/>
    <w:rsid w:val="00B75077"/>
    <w:rsid w:val="00B90346"/>
    <w:rsid w:val="00B96880"/>
    <w:rsid w:val="00BA0E06"/>
    <w:rsid w:val="00BA6FC7"/>
    <w:rsid w:val="00BA729A"/>
    <w:rsid w:val="00BB144D"/>
    <w:rsid w:val="00BB305B"/>
    <w:rsid w:val="00BB3EB3"/>
    <w:rsid w:val="00BB4451"/>
    <w:rsid w:val="00BB5DEA"/>
    <w:rsid w:val="00BB74B8"/>
    <w:rsid w:val="00BC0807"/>
    <w:rsid w:val="00BC1A59"/>
    <w:rsid w:val="00BC3D67"/>
    <w:rsid w:val="00BC59BA"/>
    <w:rsid w:val="00BC5AAA"/>
    <w:rsid w:val="00BC7DCE"/>
    <w:rsid w:val="00BD2EBC"/>
    <w:rsid w:val="00BD4199"/>
    <w:rsid w:val="00BD5F64"/>
    <w:rsid w:val="00BD6032"/>
    <w:rsid w:val="00BE65C0"/>
    <w:rsid w:val="00BF40FC"/>
    <w:rsid w:val="00BF5313"/>
    <w:rsid w:val="00BF7B96"/>
    <w:rsid w:val="00C00691"/>
    <w:rsid w:val="00C031EF"/>
    <w:rsid w:val="00C06F4B"/>
    <w:rsid w:val="00C07886"/>
    <w:rsid w:val="00C10E56"/>
    <w:rsid w:val="00C20BBE"/>
    <w:rsid w:val="00C20C33"/>
    <w:rsid w:val="00C20D83"/>
    <w:rsid w:val="00C23C29"/>
    <w:rsid w:val="00C2535F"/>
    <w:rsid w:val="00C27E1F"/>
    <w:rsid w:val="00C30B1D"/>
    <w:rsid w:val="00C3278A"/>
    <w:rsid w:val="00C32B00"/>
    <w:rsid w:val="00C32C26"/>
    <w:rsid w:val="00C345EA"/>
    <w:rsid w:val="00C352F8"/>
    <w:rsid w:val="00C3556A"/>
    <w:rsid w:val="00C406E6"/>
    <w:rsid w:val="00C40B34"/>
    <w:rsid w:val="00C41803"/>
    <w:rsid w:val="00C429BA"/>
    <w:rsid w:val="00C42B9E"/>
    <w:rsid w:val="00C44B22"/>
    <w:rsid w:val="00C46172"/>
    <w:rsid w:val="00C501DF"/>
    <w:rsid w:val="00C53F65"/>
    <w:rsid w:val="00C55415"/>
    <w:rsid w:val="00C57AB4"/>
    <w:rsid w:val="00C60552"/>
    <w:rsid w:val="00C619EE"/>
    <w:rsid w:val="00C62FEA"/>
    <w:rsid w:val="00C63AFD"/>
    <w:rsid w:val="00C65F78"/>
    <w:rsid w:val="00C6738A"/>
    <w:rsid w:val="00C703F8"/>
    <w:rsid w:val="00C708D1"/>
    <w:rsid w:val="00C77B9E"/>
    <w:rsid w:val="00C81939"/>
    <w:rsid w:val="00C82146"/>
    <w:rsid w:val="00C82E6C"/>
    <w:rsid w:val="00C84784"/>
    <w:rsid w:val="00C858F9"/>
    <w:rsid w:val="00C871CA"/>
    <w:rsid w:val="00C91AFD"/>
    <w:rsid w:val="00C93095"/>
    <w:rsid w:val="00C978BF"/>
    <w:rsid w:val="00CA7CF2"/>
    <w:rsid w:val="00CB2F33"/>
    <w:rsid w:val="00CB7119"/>
    <w:rsid w:val="00CC1F6A"/>
    <w:rsid w:val="00CC7C3B"/>
    <w:rsid w:val="00CD01C0"/>
    <w:rsid w:val="00CD1D99"/>
    <w:rsid w:val="00CD4899"/>
    <w:rsid w:val="00CE1664"/>
    <w:rsid w:val="00CE71D2"/>
    <w:rsid w:val="00CF4BF4"/>
    <w:rsid w:val="00CF543D"/>
    <w:rsid w:val="00D07732"/>
    <w:rsid w:val="00D15726"/>
    <w:rsid w:val="00D20C61"/>
    <w:rsid w:val="00D33988"/>
    <w:rsid w:val="00D361BB"/>
    <w:rsid w:val="00D41145"/>
    <w:rsid w:val="00D414F3"/>
    <w:rsid w:val="00D4507F"/>
    <w:rsid w:val="00D51B08"/>
    <w:rsid w:val="00D5574B"/>
    <w:rsid w:val="00D5719B"/>
    <w:rsid w:val="00D6280F"/>
    <w:rsid w:val="00D6324C"/>
    <w:rsid w:val="00D649B2"/>
    <w:rsid w:val="00D64B83"/>
    <w:rsid w:val="00D66D79"/>
    <w:rsid w:val="00D702EA"/>
    <w:rsid w:val="00D709EB"/>
    <w:rsid w:val="00D711D8"/>
    <w:rsid w:val="00D72685"/>
    <w:rsid w:val="00D75591"/>
    <w:rsid w:val="00D83383"/>
    <w:rsid w:val="00D86DA3"/>
    <w:rsid w:val="00D937C2"/>
    <w:rsid w:val="00D95063"/>
    <w:rsid w:val="00D95BEE"/>
    <w:rsid w:val="00DA2030"/>
    <w:rsid w:val="00DA5AA8"/>
    <w:rsid w:val="00DB1E3B"/>
    <w:rsid w:val="00DB5E68"/>
    <w:rsid w:val="00DB7CDA"/>
    <w:rsid w:val="00DB7E1A"/>
    <w:rsid w:val="00DC141D"/>
    <w:rsid w:val="00DC187C"/>
    <w:rsid w:val="00DC21A8"/>
    <w:rsid w:val="00DC2BF8"/>
    <w:rsid w:val="00DC3BD0"/>
    <w:rsid w:val="00DC5AAE"/>
    <w:rsid w:val="00DD4304"/>
    <w:rsid w:val="00DD66F3"/>
    <w:rsid w:val="00DE598A"/>
    <w:rsid w:val="00DF0CAA"/>
    <w:rsid w:val="00DF0EE5"/>
    <w:rsid w:val="00DF2692"/>
    <w:rsid w:val="00DF5D91"/>
    <w:rsid w:val="00E02256"/>
    <w:rsid w:val="00E05668"/>
    <w:rsid w:val="00E06FCA"/>
    <w:rsid w:val="00E07639"/>
    <w:rsid w:val="00E144BB"/>
    <w:rsid w:val="00E1499F"/>
    <w:rsid w:val="00E24ED7"/>
    <w:rsid w:val="00E270C7"/>
    <w:rsid w:val="00E30950"/>
    <w:rsid w:val="00E326D3"/>
    <w:rsid w:val="00E32D40"/>
    <w:rsid w:val="00E336CC"/>
    <w:rsid w:val="00E4094F"/>
    <w:rsid w:val="00E42927"/>
    <w:rsid w:val="00E43995"/>
    <w:rsid w:val="00E46441"/>
    <w:rsid w:val="00E57B62"/>
    <w:rsid w:val="00E60EE7"/>
    <w:rsid w:val="00E60EF0"/>
    <w:rsid w:val="00E630B7"/>
    <w:rsid w:val="00E652F7"/>
    <w:rsid w:val="00E738FA"/>
    <w:rsid w:val="00E760EE"/>
    <w:rsid w:val="00E76414"/>
    <w:rsid w:val="00E91698"/>
    <w:rsid w:val="00E93291"/>
    <w:rsid w:val="00E95322"/>
    <w:rsid w:val="00E96D82"/>
    <w:rsid w:val="00EA0FFC"/>
    <w:rsid w:val="00EA5283"/>
    <w:rsid w:val="00EA5F3D"/>
    <w:rsid w:val="00EA746F"/>
    <w:rsid w:val="00EA7C40"/>
    <w:rsid w:val="00EB26C9"/>
    <w:rsid w:val="00EB6CFB"/>
    <w:rsid w:val="00EB711C"/>
    <w:rsid w:val="00EB7B96"/>
    <w:rsid w:val="00EB7FF3"/>
    <w:rsid w:val="00ED18C9"/>
    <w:rsid w:val="00ED1911"/>
    <w:rsid w:val="00ED4779"/>
    <w:rsid w:val="00ED4C2F"/>
    <w:rsid w:val="00ED71DC"/>
    <w:rsid w:val="00EE1A94"/>
    <w:rsid w:val="00EF2A0F"/>
    <w:rsid w:val="00F03E0D"/>
    <w:rsid w:val="00F03FB3"/>
    <w:rsid w:val="00F060FB"/>
    <w:rsid w:val="00F07D4E"/>
    <w:rsid w:val="00F13CF8"/>
    <w:rsid w:val="00F15078"/>
    <w:rsid w:val="00F21442"/>
    <w:rsid w:val="00F21612"/>
    <w:rsid w:val="00F24AF3"/>
    <w:rsid w:val="00F26E85"/>
    <w:rsid w:val="00F34B56"/>
    <w:rsid w:val="00F458C6"/>
    <w:rsid w:val="00F4752E"/>
    <w:rsid w:val="00F477B5"/>
    <w:rsid w:val="00F47B21"/>
    <w:rsid w:val="00F538CC"/>
    <w:rsid w:val="00F54817"/>
    <w:rsid w:val="00F555E8"/>
    <w:rsid w:val="00F57A6B"/>
    <w:rsid w:val="00F60009"/>
    <w:rsid w:val="00F602D8"/>
    <w:rsid w:val="00F61C4E"/>
    <w:rsid w:val="00F6236C"/>
    <w:rsid w:val="00F65195"/>
    <w:rsid w:val="00F656CD"/>
    <w:rsid w:val="00F6628E"/>
    <w:rsid w:val="00F666B5"/>
    <w:rsid w:val="00F6752D"/>
    <w:rsid w:val="00F71216"/>
    <w:rsid w:val="00F75ADB"/>
    <w:rsid w:val="00F75F3A"/>
    <w:rsid w:val="00F76EA7"/>
    <w:rsid w:val="00F7786C"/>
    <w:rsid w:val="00F80A57"/>
    <w:rsid w:val="00F86D75"/>
    <w:rsid w:val="00F9108A"/>
    <w:rsid w:val="00F93B08"/>
    <w:rsid w:val="00F962AE"/>
    <w:rsid w:val="00FA58A6"/>
    <w:rsid w:val="00FB3EF2"/>
    <w:rsid w:val="00FB7DB4"/>
    <w:rsid w:val="00FC236D"/>
    <w:rsid w:val="00FC2989"/>
    <w:rsid w:val="00FC629E"/>
    <w:rsid w:val="00FD3BBE"/>
    <w:rsid w:val="00FD6B8C"/>
    <w:rsid w:val="00FD76B7"/>
    <w:rsid w:val="00FE3E2C"/>
    <w:rsid w:val="00FE4E67"/>
    <w:rsid w:val="00FE7B22"/>
    <w:rsid w:val="00FF4903"/>
    <w:rsid w:val="00FF52AF"/>
    <w:rsid w:val="00FF5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FC90E"/>
  <w15:docId w15:val="{6B4ED183-4193-4EFF-83A9-BC8CBEB1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26"/>
    <w:pPr>
      <w:spacing w:after="120"/>
      <w:ind w:left="284"/>
    </w:pPr>
    <w:rPr>
      <w:rFonts w:ascii="Arial" w:hAnsi="Arial" w:cs="Arial"/>
      <w:sz w:val="28"/>
      <w:szCs w:val="28"/>
    </w:rPr>
  </w:style>
  <w:style w:type="paragraph" w:styleId="Titre1">
    <w:name w:val="heading 1"/>
    <w:basedOn w:val="Normal"/>
    <w:next w:val="Normal"/>
    <w:link w:val="Titre1Car"/>
    <w:autoRedefine/>
    <w:qFormat/>
    <w:rsid w:val="003B433B"/>
    <w:pPr>
      <w:numPr>
        <w:numId w:val="10"/>
      </w:numPr>
      <w:pBdr>
        <w:top w:val="single" w:sz="12" w:space="1" w:color="4A4F64"/>
      </w:pBdr>
      <w:spacing w:before="480" w:after="240"/>
      <w:ind w:right="28"/>
      <w:jc w:val="both"/>
      <w:outlineLvl w:val="0"/>
    </w:pPr>
    <w:rPr>
      <w:rFonts w:eastAsia="Times New Roman"/>
      <w:b/>
      <w:bCs/>
      <w:color w:val="4A206A"/>
      <w:sz w:val="36"/>
      <w:szCs w:val="36"/>
    </w:rPr>
  </w:style>
  <w:style w:type="paragraph" w:styleId="Titre2">
    <w:name w:val="heading 2"/>
    <w:basedOn w:val="Normal"/>
    <w:next w:val="Normal"/>
    <w:link w:val="Titre2Car"/>
    <w:autoRedefine/>
    <w:unhideWhenUsed/>
    <w:qFormat/>
    <w:rsid w:val="003B433B"/>
    <w:pPr>
      <w:keepNext/>
      <w:numPr>
        <w:ilvl w:val="1"/>
        <w:numId w:val="10"/>
      </w:numPr>
      <w:spacing w:before="360" w:after="240"/>
      <w:outlineLvl w:val="1"/>
    </w:pPr>
    <w:rPr>
      <w:rFonts w:eastAsia="Times New Roman"/>
      <w:b/>
      <w:bCs/>
      <w:color w:val="FF7B21"/>
      <w:sz w:val="32"/>
      <w:szCs w:val="32"/>
    </w:rPr>
  </w:style>
  <w:style w:type="paragraph" w:styleId="Titre3">
    <w:name w:val="heading 3"/>
    <w:basedOn w:val="Normal"/>
    <w:next w:val="Normal"/>
    <w:link w:val="Titre3Car"/>
    <w:unhideWhenUsed/>
    <w:qFormat/>
    <w:rsid w:val="00F57A6B"/>
    <w:pPr>
      <w:keepNext/>
      <w:numPr>
        <w:ilvl w:val="2"/>
        <w:numId w:val="10"/>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10"/>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10"/>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10"/>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10"/>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B433B"/>
    <w:rPr>
      <w:rFonts w:ascii="Arial" w:eastAsia="Times New Roman" w:hAnsi="Arial" w:cs="Arial"/>
      <w:b/>
      <w:bCs/>
      <w:color w:val="4A206A"/>
      <w:sz w:val="36"/>
      <w:szCs w:val="36"/>
    </w:rPr>
  </w:style>
  <w:style w:type="character" w:customStyle="1" w:styleId="Titre2Car">
    <w:name w:val="Titre 2 Car"/>
    <w:link w:val="Titre2"/>
    <w:rsid w:val="003B433B"/>
    <w:rPr>
      <w:rFonts w:ascii="Arial" w:eastAsia="Times New Roman" w:hAnsi="Arial" w:cs="Arial"/>
      <w:b/>
      <w:bCs/>
      <w:color w:val="FF7B21"/>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eastAsia="Times New Roman" w:cs="Times New Roman"/>
      <w:b/>
      <w:bCs/>
      <w:iCs/>
      <w:color w:val="000000"/>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eastAsia="Times New Roman" w:cs="Times New Roman"/>
      <w:i/>
      <w:iCs/>
      <w:color w:val="243F60"/>
    </w:rPr>
  </w:style>
  <w:style w:type="character" w:customStyle="1" w:styleId="Titre7Car">
    <w:name w:val="Titre 7 Car"/>
    <w:link w:val="Titre7"/>
    <w:rsid w:val="001B7642"/>
    <w:rPr>
      <w:rFonts w:eastAsia="Times New Roman" w:cs="Times New Roman"/>
      <w:i/>
      <w:iCs/>
      <w:color w:val="404040"/>
    </w:rPr>
  </w:style>
  <w:style w:type="character" w:customStyle="1" w:styleId="Titre8Car">
    <w:name w:val="Titre 8 Car"/>
    <w:link w:val="Titre8"/>
    <w:rsid w:val="001B7642"/>
    <w:rPr>
      <w:rFonts w:eastAsia="Times New Roman" w:cs="Times New Roman"/>
      <w:color w:val="4F81BD"/>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autoRedefine/>
    <w:uiPriority w:val="10"/>
    <w:qFormat/>
    <w:rsid w:val="003B433B"/>
    <w:pPr>
      <w:spacing w:after="300"/>
      <w:ind w:left="0"/>
      <w:contextualSpacing/>
    </w:pPr>
    <w:rPr>
      <w:rFonts w:eastAsia="Times New Roman"/>
      <w:b/>
      <w:color w:val="632B8D"/>
      <w:spacing w:val="5"/>
      <w:kern w:val="28"/>
      <w:sz w:val="40"/>
      <w:szCs w:val="40"/>
    </w:rPr>
  </w:style>
  <w:style w:type="character" w:customStyle="1" w:styleId="TitreCar">
    <w:name w:val="Titre Car"/>
    <w:link w:val="Titre"/>
    <w:uiPriority w:val="10"/>
    <w:rsid w:val="003B433B"/>
    <w:rPr>
      <w:rFonts w:ascii="Arial" w:eastAsia="Times New Roman" w:hAnsi="Arial" w:cs="Arial"/>
      <w:b/>
      <w:color w:val="632B8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11"/>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semiHidden/>
    <w:unhideWhenUsed/>
    <w:qFormat/>
    <w:rsid w:val="001B7642"/>
    <w:pPr>
      <w:numPr>
        <w:numId w:val="0"/>
      </w:num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link w:val="En-tte"/>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1B764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table" w:styleId="Grillecouleur-Accent6">
    <w:name w:val="Colorful Grid Accent 6"/>
    <w:basedOn w:val="TableauNormal"/>
    <w:uiPriority w:val="73"/>
    <w:rsid w:val="00BC5AAA"/>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laire-Accent6">
    <w:name w:val="Light Shading Accent 6"/>
    <w:basedOn w:val="TableauNormal"/>
    <w:uiPriority w:val="60"/>
    <w:rsid w:val="00BC5AAA"/>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moyenne1-Accent6">
    <w:name w:val="Medium Grid 1 Accent 6"/>
    <w:basedOn w:val="TableauNormal"/>
    <w:uiPriority w:val="67"/>
    <w:rsid w:val="00BC5AA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Trameclaire-Accent3">
    <w:name w:val="Light Shading Accent 3"/>
    <w:basedOn w:val="TableauNormal"/>
    <w:uiPriority w:val="60"/>
    <w:rsid w:val="00C345EA"/>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eclaire-Accent3">
    <w:name w:val="Light List Accent 3"/>
    <w:basedOn w:val="TableauNormal"/>
    <w:uiPriority w:val="61"/>
    <w:rsid w:val="00C345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Grilleclaire-Accent3">
    <w:name w:val="Light Grid Accent 3"/>
    <w:basedOn w:val="TableauNormal"/>
    <w:uiPriority w:val="62"/>
    <w:rsid w:val="00C345EA"/>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6">
    <w:name w:val="Light Grid Accent 6"/>
    <w:basedOn w:val="TableauNormal"/>
    <w:uiPriority w:val="62"/>
    <w:rsid w:val="00C345EA"/>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D359-E72C-45E9-8C62-BD1BB70F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1546</Words>
  <Characters>8503</Characters>
  <Application>Microsoft Office Word</Application>
  <DocSecurity>0</DocSecurity>
  <Lines>70</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10029</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Accessibilité numérique</dc:subject>
  <dc:creator>DEBONNAIRE Corinne</dc:creator>
  <cp:lastModifiedBy>JONNEAU Mayssa</cp:lastModifiedBy>
  <cp:revision>3</cp:revision>
  <cp:lastPrinted>2014-12-29T14:34:00Z</cp:lastPrinted>
  <dcterms:created xsi:type="dcterms:W3CDTF">2024-12-04T09:55:00Z</dcterms:created>
  <dcterms:modified xsi:type="dcterms:W3CDTF">2024-12-04T10:01:00Z</dcterms:modified>
</cp:coreProperties>
</file>