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AA479" w14:textId="77777777" w:rsidR="0068796A" w:rsidRDefault="0023549E" w:rsidP="001305A8">
      <w:pPr>
        <w:pStyle w:val="Titre1"/>
        <w:ind w:left="-426"/>
        <w:rPr>
          <w:sz w:val="36"/>
          <w:szCs w:val="36"/>
        </w:rPr>
      </w:pPr>
      <w:r w:rsidRPr="0023549E">
        <w:rPr>
          <w:noProof/>
          <w:sz w:val="36"/>
          <w:szCs w:val="36"/>
        </w:rPr>
        <w:drawing>
          <wp:anchor distT="0" distB="0" distL="114300" distR="114300" simplePos="0" relativeHeight="251667456" behindDoc="1" locked="0" layoutInCell="1" allowOverlap="1" wp14:anchorId="50DF44A3" wp14:editId="20BE6016">
            <wp:simplePos x="0" y="0"/>
            <wp:positionH relativeFrom="margin">
              <wp:posOffset>7944485</wp:posOffset>
            </wp:positionH>
            <wp:positionV relativeFrom="paragraph">
              <wp:posOffset>24</wp:posOffset>
            </wp:positionV>
            <wp:extent cx="1314450" cy="824865"/>
            <wp:effectExtent l="0" t="0" r="0" b="0"/>
            <wp:wrapSquare wrapText="bothSides"/>
            <wp:docPr id="1124292375" name="Image 1" descr="Logo association Valentin Haüy avec les aveugles et les malvoyant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684520" name="Image 1" descr="Logo association Valentin Haüy avec les aveugles et les malvoyants 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549E">
        <w:rPr>
          <w:sz w:val="36"/>
          <w:szCs w:val="36"/>
        </w:rPr>
        <w:t xml:space="preserve">Tableau des prestations </w:t>
      </w:r>
      <w:r w:rsidR="0068796A">
        <w:rPr>
          <w:sz w:val="36"/>
          <w:szCs w:val="36"/>
        </w:rPr>
        <w:t>–</w:t>
      </w:r>
      <w:r w:rsidRPr="0023549E">
        <w:rPr>
          <w:sz w:val="36"/>
          <w:szCs w:val="36"/>
        </w:rPr>
        <w:t xml:space="preserve"> </w:t>
      </w:r>
      <w:r w:rsidR="0068796A">
        <w:rPr>
          <w:sz w:val="36"/>
          <w:szCs w:val="36"/>
        </w:rPr>
        <w:t>Service social</w:t>
      </w:r>
    </w:p>
    <w:p w14:paraId="3ADCA5AC" w14:textId="54496A88" w:rsidR="006D75C1" w:rsidRPr="0068796A" w:rsidRDefault="0068796A" w:rsidP="0068796A">
      <w:pPr>
        <w:pStyle w:val="Titre1"/>
      </w:pPr>
      <w:r w:rsidRPr="0068796A">
        <w:t>A</w:t>
      </w:r>
      <w:r w:rsidR="0023549E" w:rsidRPr="0068796A">
        <w:t>llocation aux Adultes Handicapés</w:t>
      </w:r>
    </w:p>
    <w:tbl>
      <w:tblPr>
        <w:tblStyle w:val="Grilledutableau"/>
        <w:tblW w:w="15021" w:type="dxa"/>
        <w:tblInd w:w="-431" w:type="dxa"/>
        <w:tblLook w:val="04A0" w:firstRow="1" w:lastRow="0" w:firstColumn="1" w:lastColumn="0" w:noHBand="0" w:noVBand="1"/>
      </w:tblPr>
      <w:tblGrid>
        <w:gridCol w:w="2263"/>
        <w:gridCol w:w="12758"/>
      </w:tblGrid>
      <w:tr w:rsidR="0023549E" w14:paraId="04AA6EA0" w14:textId="77777777" w:rsidTr="00BC4E83">
        <w:trPr>
          <w:trHeight w:val="586"/>
          <w:tblHeader/>
        </w:trPr>
        <w:tc>
          <w:tcPr>
            <w:tcW w:w="2263" w:type="dxa"/>
            <w:shd w:val="clear" w:color="auto" w:fill="DD4814"/>
            <w:vAlign w:val="center"/>
          </w:tcPr>
          <w:p w14:paraId="01D3CBC6" w14:textId="7D8303FE" w:rsidR="0023549E" w:rsidRDefault="0023549E" w:rsidP="0023549E">
            <w:pPr>
              <w:spacing w:before="40" w:after="40"/>
              <w:rPr>
                <w:rFonts w:ascii="Arial" w:eastAsia="MS PMincho" w:hAnsi="Arial" w:cs="Arial"/>
                <w:color w:val="000000"/>
                <w:sz w:val="26"/>
                <w:szCs w:val="26"/>
              </w:rPr>
            </w:pPr>
            <w:r w:rsidRPr="006E5909">
              <w:rPr>
                <w:rFonts w:ascii="Arial" w:hAnsi="Arial" w:cs="Arial"/>
                <w:b/>
                <w:bCs/>
                <w:color w:val="0D0D0D" w:themeColor="text1" w:themeTint="F2"/>
                <w:sz w:val="26"/>
                <w:szCs w:val="26"/>
              </w:rPr>
              <w:t>Type</w:t>
            </w:r>
          </w:p>
        </w:tc>
        <w:tc>
          <w:tcPr>
            <w:tcW w:w="12758" w:type="dxa"/>
            <w:shd w:val="clear" w:color="auto" w:fill="DD4814"/>
            <w:vAlign w:val="center"/>
          </w:tcPr>
          <w:p w14:paraId="353D1DBB" w14:textId="263D1A4A" w:rsidR="0023549E" w:rsidRDefault="0023549E" w:rsidP="0023549E">
            <w:pPr>
              <w:spacing w:before="40" w:after="40"/>
              <w:rPr>
                <w:rFonts w:ascii="Arial" w:eastAsia="MS PMincho" w:hAnsi="Arial" w:cs="Arial"/>
                <w:color w:val="000000"/>
                <w:sz w:val="26"/>
                <w:szCs w:val="26"/>
              </w:rPr>
            </w:pPr>
            <w:r w:rsidRPr="00485518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AAH (Allocation aux Adultes Handicapés)</w:t>
            </w:r>
          </w:p>
        </w:tc>
      </w:tr>
      <w:tr w:rsidR="0023549E" w14:paraId="723F63B7" w14:textId="77777777" w:rsidTr="001305A8">
        <w:tc>
          <w:tcPr>
            <w:tcW w:w="2263" w:type="dxa"/>
            <w:shd w:val="clear" w:color="auto" w:fill="DD4814"/>
            <w:vAlign w:val="center"/>
          </w:tcPr>
          <w:p w14:paraId="19629285" w14:textId="11265BD5" w:rsidR="0023549E" w:rsidRDefault="0023549E" w:rsidP="0023549E">
            <w:pPr>
              <w:spacing w:before="40" w:after="40"/>
              <w:rPr>
                <w:rFonts w:ascii="Arial" w:eastAsia="MS PMincho" w:hAnsi="Arial" w:cs="Arial"/>
                <w:color w:val="000000"/>
                <w:sz w:val="26"/>
                <w:szCs w:val="26"/>
              </w:rPr>
            </w:pPr>
            <w:r w:rsidRPr="006E5909">
              <w:rPr>
                <w:rFonts w:ascii="Arial" w:hAnsi="Arial" w:cs="Arial"/>
                <w:b/>
                <w:bCs/>
                <w:sz w:val="26"/>
                <w:szCs w:val="26"/>
              </w:rPr>
              <w:t>Condition d’âge</w:t>
            </w:r>
          </w:p>
        </w:tc>
        <w:tc>
          <w:tcPr>
            <w:tcW w:w="12758" w:type="dxa"/>
            <w:vAlign w:val="center"/>
          </w:tcPr>
          <w:p w14:paraId="079DB0C8" w14:textId="77777777" w:rsidR="0023549E" w:rsidRPr="00CF0470" w:rsidRDefault="0023549E" w:rsidP="0023549E">
            <w:pPr>
              <w:rPr>
                <w:rFonts w:ascii="Arial" w:hAnsi="Arial" w:cs="Arial"/>
                <w:sz w:val="26"/>
                <w:szCs w:val="26"/>
              </w:rPr>
            </w:pPr>
            <w:r w:rsidRPr="00CF0470">
              <w:rPr>
                <w:rFonts w:ascii="Arial" w:hAnsi="Arial" w:cs="Arial"/>
                <w:b/>
                <w:bCs/>
                <w:sz w:val="26"/>
                <w:szCs w:val="26"/>
              </w:rPr>
              <w:t>Être âgé de 20 ou plus</w:t>
            </w:r>
            <w:r w:rsidRPr="00CF0470">
              <w:rPr>
                <w:rFonts w:ascii="Arial" w:hAnsi="Arial" w:cs="Arial"/>
                <w:sz w:val="26"/>
                <w:szCs w:val="26"/>
              </w:rPr>
              <w:t xml:space="preserve">, (à partir 16 ans, si en contrat d’apprentissage ou de professionnalisation ou en activité professionnelle) </w:t>
            </w:r>
          </w:p>
          <w:p w14:paraId="47939730" w14:textId="77777777" w:rsidR="0023549E" w:rsidRPr="00CF0470" w:rsidRDefault="0023549E" w:rsidP="0023549E">
            <w:pPr>
              <w:rPr>
                <w:rFonts w:ascii="Arial" w:hAnsi="Arial" w:cs="Arial"/>
                <w:sz w:val="26"/>
                <w:szCs w:val="26"/>
              </w:rPr>
            </w:pPr>
            <w:r w:rsidRPr="00CF0470">
              <w:rPr>
                <w:rFonts w:ascii="Arial" w:hAnsi="Arial" w:cs="Arial"/>
                <w:sz w:val="26"/>
                <w:szCs w:val="26"/>
              </w:rPr>
              <w:t xml:space="preserve">Pour les personnes ayant atteint l’âge de 62 ans : </w:t>
            </w:r>
          </w:p>
          <w:p w14:paraId="041BDE90" w14:textId="77777777" w:rsidR="0023549E" w:rsidRDefault="0023549E" w:rsidP="0023549E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6"/>
                <w:szCs w:val="26"/>
              </w:rPr>
            </w:pPr>
            <w:r w:rsidRPr="00CF0470">
              <w:rPr>
                <w:rFonts w:ascii="Arial" w:hAnsi="Arial" w:cs="Arial"/>
                <w:sz w:val="26"/>
                <w:szCs w:val="26"/>
              </w:rPr>
              <w:t xml:space="preserve">Avec un taux d’incapacité entre </w:t>
            </w:r>
            <w:r w:rsidRPr="00CF0470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50 et 79 % </w:t>
            </w:r>
            <w:r w:rsidRPr="00CF0470">
              <w:rPr>
                <w:rFonts w:ascii="Arial" w:hAnsi="Arial" w:cs="Arial"/>
                <w:sz w:val="26"/>
                <w:szCs w:val="26"/>
              </w:rPr>
              <w:t xml:space="preserve">: l’AAH est interrompue. </w:t>
            </w:r>
          </w:p>
          <w:p w14:paraId="759BBA1A" w14:textId="3C35F0C9" w:rsidR="0023549E" w:rsidRPr="00841AD0" w:rsidRDefault="0023549E" w:rsidP="00841AD0">
            <w:pPr>
              <w:pStyle w:val="Paragraphedeliste"/>
              <w:numPr>
                <w:ilvl w:val="0"/>
                <w:numId w:val="1"/>
              </w:numPr>
              <w:spacing w:before="40" w:after="40"/>
              <w:rPr>
                <w:rFonts w:ascii="Arial" w:eastAsia="MS PMincho" w:hAnsi="Arial" w:cs="Arial"/>
                <w:color w:val="000000"/>
                <w:sz w:val="26"/>
                <w:szCs w:val="26"/>
              </w:rPr>
            </w:pPr>
            <w:r w:rsidRPr="00841AD0">
              <w:rPr>
                <w:rFonts w:ascii="Arial" w:hAnsi="Arial" w:cs="Arial"/>
                <w:sz w:val="26"/>
                <w:szCs w:val="26"/>
              </w:rPr>
              <w:t xml:space="preserve">Avec un taux d’incapacité de </w:t>
            </w:r>
            <w:r w:rsidRPr="00841AD0">
              <w:rPr>
                <w:rFonts w:ascii="Arial" w:hAnsi="Arial" w:cs="Arial"/>
                <w:b/>
                <w:bCs/>
                <w:sz w:val="26"/>
                <w:szCs w:val="26"/>
              </w:rPr>
              <w:t>80 %</w:t>
            </w:r>
            <w:r w:rsidRPr="00841AD0">
              <w:rPr>
                <w:rFonts w:ascii="Arial" w:hAnsi="Arial" w:cs="Arial"/>
                <w:sz w:val="26"/>
                <w:szCs w:val="26"/>
              </w:rPr>
              <w:t xml:space="preserve"> : possibilité de maintien de l’AAH en fonction de la situation professionnelle et financière.</w:t>
            </w:r>
          </w:p>
        </w:tc>
      </w:tr>
      <w:tr w:rsidR="0023549E" w14:paraId="0DB435AC" w14:textId="77777777" w:rsidTr="001305A8">
        <w:tc>
          <w:tcPr>
            <w:tcW w:w="2263" w:type="dxa"/>
            <w:shd w:val="clear" w:color="auto" w:fill="DD4814"/>
            <w:vAlign w:val="center"/>
          </w:tcPr>
          <w:p w14:paraId="04E14F75" w14:textId="7C632AE1" w:rsidR="0023549E" w:rsidRDefault="0023549E" w:rsidP="0023549E">
            <w:pPr>
              <w:spacing w:before="40" w:after="40"/>
              <w:rPr>
                <w:rFonts w:ascii="Arial" w:eastAsia="MS PMincho" w:hAnsi="Arial" w:cs="Arial"/>
                <w:color w:val="000000"/>
                <w:sz w:val="26"/>
                <w:szCs w:val="26"/>
              </w:rPr>
            </w:pPr>
            <w:r w:rsidRPr="006E5909">
              <w:rPr>
                <w:rFonts w:ascii="Arial" w:hAnsi="Arial" w:cs="Arial"/>
                <w:b/>
                <w:bCs/>
                <w:sz w:val="26"/>
                <w:szCs w:val="26"/>
              </w:rPr>
              <w:t>Résidence</w:t>
            </w:r>
          </w:p>
        </w:tc>
        <w:tc>
          <w:tcPr>
            <w:tcW w:w="12758" w:type="dxa"/>
            <w:shd w:val="clear" w:color="auto" w:fill="FFE3E3"/>
            <w:vAlign w:val="center"/>
          </w:tcPr>
          <w:p w14:paraId="52B1E53D" w14:textId="5D248E15" w:rsidR="0023549E" w:rsidRDefault="0023549E" w:rsidP="0023549E">
            <w:pPr>
              <w:spacing w:before="40" w:after="40"/>
              <w:rPr>
                <w:rFonts w:ascii="Arial" w:eastAsia="MS PMincho" w:hAnsi="Arial" w:cs="Arial"/>
                <w:color w:val="000000"/>
                <w:sz w:val="26"/>
                <w:szCs w:val="26"/>
              </w:rPr>
            </w:pPr>
            <w:r w:rsidRPr="00CF0470">
              <w:rPr>
                <w:rFonts w:ascii="Arial" w:hAnsi="Arial" w:cs="Arial"/>
                <w:sz w:val="26"/>
                <w:szCs w:val="26"/>
              </w:rPr>
              <w:t>Résider de façon stable et régulière</w:t>
            </w:r>
            <w:r w:rsidR="00841AD0">
              <w:rPr>
                <w:rStyle w:val="Appelnotedebasdep"/>
                <w:rFonts w:ascii="Arial" w:hAnsi="Arial" w:cs="Arial"/>
                <w:sz w:val="26"/>
                <w:szCs w:val="26"/>
              </w:rPr>
              <w:footnoteReference w:id="1"/>
            </w:r>
            <w:r w:rsidRPr="00CF0470">
              <w:rPr>
                <w:rFonts w:ascii="Arial" w:hAnsi="Arial" w:cs="Arial"/>
                <w:sz w:val="26"/>
                <w:szCs w:val="26"/>
              </w:rPr>
              <w:t xml:space="preserve"> en France, dans les DROM-COM, ou à S</w:t>
            </w:r>
            <w:r w:rsidR="001305A8">
              <w:rPr>
                <w:rFonts w:ascii="Arial" w:hAnsi="Arial" w:cs="Arial"/>
                <w:sz w:val="26"/>
                <w:szCs w:val="26"/>
              </w:rPr>
              <w:t>aint-</w:t>
            </w:r>
            <w:r w:rsidRPr="00CF0470">
              <w:rPr>
                <w:rFonts w:ascii="Arial" w:hAnsi="Arial" w:cs="Arial"/>
                <w:sz w:val="26"/>
                <w:szCs w:val="26"/>
              </w:rPr>
              <w:t>Pierre</w:t>
            </w:r>
            <w:r w:rsidR="001305A8">
              <w:rPr>
                <w:rFonts w:ascii="Arial" w:hAnsi="Arial" w:cs="Arial"/>
                <w:sz w:val="26"/>
                <w:szCs w:val="26"/>
              </w:rPr>
              <w:t>-</w:t>
            </w:r>
            <w:r w:rsidRPr="00CF0470">
              <w:rPr>
                <w:rFonts w:ascii="Arial" w:hAnsi="Arial" w:cs="Arial"/>
                <w:sz w:val="26"/>
                <w:szCs w:val="26"/>
              </w:rPr>
              <w:t>et</w:t>
            </w:r>
            <w:r w:rsidR="001305A8">
              <w:rPr>
                <w:rFonts w:ascii="Arial" w:hAnsi="Arial" w:cs="Arial"/>
                <w:sz w:val="26"/>
                <w:szCs w:val="26"/>
              </w:rPr>
              <w:t>-</w:t>
            </w:r>
            <w:r w:rsidRPr="00CF0470">
              <w:rPr>
                <w:rFonts w:ascii="Arial" w:hAnsi="Arial" w:cs="Arial"/>
                <w:sz w:val="26"/>
                <w:szCs w:val="26"/>
              </w:rPr>
              <w:t>Miquelon. Si</w:t>
            </w:r>
            <w:r w:rsidR="001305A8">
              <w:rPr>
                <w:rFonts w:ascii="Arial" w:hAnsi="Arial" w:cs="Arial"/>
                <w:sz w:val="26"/>
                <w:szCs w:val="26"/>
              </w:rPr>
              <w:t> </w:t>
            </w:r>
            <w:r w:rsidRPr="00CF0470">
              <w:rPr>
                <w:rFonts w:ascii="Arial" w:hAnsi="Arial" w:cs="Arial"/>
                <w:sz w:val="26"/>
                <w:szCs w:val="26"/>
              </w:rPr>
              <w:t>de</w:t>
            </w:r>
            <w:r w:rsidR="001305A8">
              <w:rPr>
                <w:rFonts w:ascii="Arial" w:hAnsi="Arial" w:cs="Arial"/>
                <w:sz w:val="26"/>
                <w:szCs w:val="26"/>
              </w:rPr>
              <w:t> </w:t>
            </w:r>
            <w:r w:rsidRPr="00CF0470">
              <w:rPr>
                <w:rFonts w:ascii="Arial" w:hAnsi="Arial" w:cs="Arial"/>
                <w:sz w:val="26"/>
                <w:szCs w:val="26"/>
              </w:rPr>
              <w:t>nationalité étrangère : Document justifiant de la régularité du séjour. Si sans domicile stable : Une démarche de domiciliation est indispensable pour percevoir l’AAH.</w:t>
            </w:r>
          </w:p>
        </w:tc>
      </w:tr>
      <w:tr w:rsidR="0023549E" w14:paraId="41F208A6" w14:textId="77777777" w:rsidTr="001305A8">
        <w:tc>
          <w:tcPr>
            <w:tcW w:w="2263" w:type="dxa"/>
            <w:shd w:val="clear" w:color="auto" w:fill="DD4814"/>
            <w:vAlign w:val="center"/>
          </w:tcPr>
          <w:p w14:paraId="557BB929" w14:textId="1E6B38BC" w:rsidR="0023549E" w:rsidRDefault="0023549E" w:rsidP="0023549E">
            <w:pPr>
              <w:spacing w:before="40" w:after="40"/>
              <w:rPr>
                <w:rFonts w:ascii="Arial" w:eastAsia="MS PMincho" w:hAnsi="Arial" w:cs="Arial"/>
                <w:color w:val="000000"/>
                <w:sz w:val="26"/>
                <w:szCs w:val="26"/>
              </w:rPr>
            </w:pPr>
            <w:r w:rsidRPr="006E5909">
              <w:rPr>
                <w:rFonts w:ascii="Arial" w:hAnsi="Arial" w:cs="Arial"/>
                <w:b/>
                <w:bCs/>
                <w:sz w:val="26"/>
                <w:szCs w:val="26"/>
              </w:rPr>
              <w:t>Incapacité</w:t>
            </w:r>
          </w:p>
        </w:tc>
        <w:tc>
          <w:tcPr>
            <w:tcW w:w="12758" w:type="dxa"/>
            <w:vAlign w:val="center"/>
          </w:tcPr>
          <w:p w14:paraId="067B4426" w14:textId="126C3D3F" w:rsidR="0023549E" w:rsidRDefault="0023549E" w:rsidP="0023549E">
            <w:pPr>
              <w:spacing w:before="40" w:after="40"/>
              <w:rPr>
                <w:rFonts w:ascii="Arial" w:eastAsia="MS PMincho" w:hAnsi="Arial" w:cs="Arial"/>
                <w:color w:val="000000"/>
                <w:sz w:val="26"/>
                <w:szCs w:val="26"/>
              </w:rPr>
            </w:pPr>
            <w:r w:rsidRPr="00CF0470">
              <w:rPr>
                <w:rFonts w:ascii="Arial" w:hAnsi="Arial" w:cs="Arial"/>
                <w:sz w:val="26"/>
                <w:szCs w:val="26"/>
              </w:rPr>
              <w:t xml:space="preserve">- Avoir un taux d’incapacité permanente égale ou supérieur à 80 %, ou - Avoir un taux d’incapacité compris entre 50 et 80 %, à la condition de s’être vu reconnaître une Restriction Substantielle et Durable pour l’Accès à l’Emploi (RSDAE) du fait du handicap. </w:t>
            </w:r>
          </w:p>
        </w:tc>
      </w:tr>
      <w:tr w:rsidR="0023549E" w14:paraId="1DD26D12" w14:textId="77777777" w:rsidTr="001305A8">
        <w:tc>
          <w:tcPr>
            <w:tcW w:w="2263" w:type="dxa"/>
            <w:shd w:val="clear" w:color="auto" w:fill="DD4814"/>
            <w:vAlign w:val="center"/>
          </w:tcPr>
          <w:p w14:paraId="7D428D89" w14:textId="5D764F29" w:rsidR="0023549E" w:rsidRDefault="0023549E" w:rsidP="0023549E">
            <w:pPr>
              <w:spacing w:before="40" w:after="40"/>
              <w:rPr>
                <w:rFonts w:ascii="Arial" w:eastAsia="MS PMincho" w:hAnsi="Arial" w:cs="Arial"/>
                <w:color w:val="000000"/>
                <w:sz w:val="26"/>
                <w:szCs w:val="26"/>
              </w:rPr>
            </w:pPr>
            <w:r w:rsidRPr="006E5909">
              <w:rPr>
                <w:rFonts w:ascii="Arial" w:hAnsi="Arial" w:cs="Arial"/>
                <w:b/>
                <w:bCs/>
                <w:sz w:val="26"/>
                <w:szCs w:val="26"/>
              </w:rPr>
              <w:t>Ressources</w:t>
            </w:r>
          </w:p>
        </w:tc>
        <w:tc>
          <w:tcPr>
            <w:tcW w:w="12758" w:type="dxa"/>
            <w:shd w:val="clear" w:color="auto" w:fill="FFE3E3"/>
            <w:vAlign w:val="center"/>
          </w:tcPr>
          <w:p w14:paraId="7D3CBAAD" w14:textId="1EC7B75B" w:rsidR="0023549E" w:rsidRDefault="0023549E" w:rsidP="0023549E">
            <w:pPr>
              <w:spacing w:before="40" w:after="40"/>
              <w:rPr>
                <w:rFonts w:ascii="Arial" w:eastAsia="MS PMincho" w:hAnsi="Arial" w:cs="Arial"/>
                <w:color w:val="000000"/>
                <w:sz w:val="26"/>
                <w:szCs w:val="26"/>
              </w:rPr>
            </w:pPr>
            <w:r w:rsidRPr="00CF0470">
              <w:rPr>
                <w:rFonts w:ascii="Arial" w:hAnsi="Arial" w:cs="Arial"/>
                <w:sz w:val="26"/>
                <w:szCs w:val="26"/>
              </w:rPr>
              <w:t>Le versement de l’AAH est soumis à un plafond de ressources (</w:t>
            </w:r>
            <w:proofErr w:type="spellStart"/>
            <w:r w:rsidRPr="00CF0470">
              <w:rPr>
                <w:rFonts w:ascii="Arial" w:hAnsi="Arial" w:cs="Arial"/>
                <w:sz w:val="26"/>
                <w:szCs w:val="26"/>
              </w:rPr>
              <w:t>cf</w:t>
            </w:r>
            <w:proofErr w:type="spellEnd"/>
            <w:r w:rsidRPr="00CF0470">
              <w:rPr>
                <w:rFonts w:ascii="Arial" w:hAnsi="Arial" w:cs="Arial"/>
                <w:sz w:val="26"/>
                <w:szCs w:val="26"/>
              </w:rPr>
              <w:t xml:space="preserve"> tableau des plafonds). Seuls sont pris en compte les ressources nettes imposables du bénéficiaire (à l’exclusion de celles de son conjoint).</w:t>
            </w:r>
          </w:p>
        </w:tc>
      </w:tr>
      <w:tr w:rsidR="0023549E" w14:paraId="08FE1816" w14:textId="77777777" w:rsidTr="001305A8">
        <w:tc>
          <w:tcPr>
            <w:tcW w:w="2263" w:type="dxa"/>
            <w:shd w:val="clear" w:color="auto" w:fill="DD4814"/>
            <w:vAlign w:val="center"/>
          </w:tcPr>
          <w:p w14:paraId="2CAF0682" w14:textId="6ED1E144" w:rsidR="0023549E" w:rsidRDefault="0023549E" w:rsidP="0023549E">
            <w:pPr>
              <w:spacing w:before="40" w:after="40"/>
              <w:rPr>
                <w:rFonts w:ascii="Arial" w:eastAsia="MS PMincho" w:hAnsi="Arial" w:cs="Arial"/>
                <w:color w:val="000000"/>
                <w:sz w:val="26"/>
                <w:szCs w:val="26"/>
              </w:rPr>
            </w:pPr>
            <w:r w:rsidRPr="006E5909">
              <w:rPr>
                <w:rFonts w:ascii="Arial" w:hAnsi="Arial" w:cs="Arial"/>
                <w:b/>
                <w:bCs/>
                <w:sz w:val="26"/>
                <w:szCs w:val="26"/>
              </w:rPr>
              <w:t>Montant</w:t>
            </w:r>
          </w:p>
        </w:tc>
        <w:tc>
          <w:tcPr>
            <w:tcW w:w="12758" w:type="dxa"/>
            <w:vAlign w:val="center"/>
          </w:tcPr>
          <w:p w14:paraId="51998131" w14:textId="04BBEB49" w:rsidR="0023549E" w:rsidRDefault="0023549E" w:rsidP="0023549E">
            <w:pPr>
              <w:spacing w:before="40" w:after="40"/>
              <w:rPr>
                <w:rFonts w:ascii="Arial" w:eastAsia="MS PMincho" w:hAnsi="Arial" w:cs="Arial"/>
                <w:color w:val="000000"/>
                <w:sz w:val="26"/>
                <w:szCs w:val="26"/>
              </w:rPr>
            </w:pPr>
            <w:r w:rsidRPr="00CF0470">
              <w:rPr>
                <w:rFonts w:ascii="Arial" w:hAnsi="Arial" w:cs="Arial"/>
                <w:sz w:val="26"/>
                <w:szCs w:val="26"/>
              </w:rPr>
              <w:t>Le montant est calculé en fonction des ressources et de la composition familiale (</w:t>
            </w:r>
            <w:proofErr w:type="spellStart"/>
            <w:r w:rsidRPr="00CF0470">
              <w:rPr>
                <w:rFonts w:ascii="Arial" w:hAnsi="Arial" w:cs="Arial"/>
                <w:sz w:val="26"/>
                <w:szCs w:val="26"/>
              </w:rPr>
              <w:t>cf</w:t>
            </w:r>
            <w:proofErr w:type="spellEnd"/>
            <w:r w:rsidRPr="00CF0470">
              <w:rPr>
                <w:rFonts w:ascii="Arial" w:hAnsi="Arial" w:cs="Arial"/>
                <w:sz w:val="26"/>
                <w:szCs w:val="26"/>
              </w:rPr>
              <w:t xml:space="preserve"> tableau des montants). L’AAH est versée par la CAF du département de l’intéressé. Pour les personnes dont le taux d’incapacité est égal ou supérieur à 80%, l’AAH peut être attribuée sans limitation de durée si le handicap n’est pas susceptible d’évolution favorable.</w:t>
            </w:r>
          </w:p>
        </w:tc>
      </w:tr>
    </w:tbl>
    <w:p w14:paraId="43797CFF" w14:textId="77777777" w:rsidR="0023549E" w:rsidRDefault="0023549E" w:rsidP="0023549E">
      <w:pPr>
        <w:pStyle w:val="Titre"/>
        <w:rPr>
          <w:rFonts w:ascii="Arial" w:hAnsi="Arial" w:cs="Arial"/>
          <w:color w:val="000000" w:themeColor="text1"/>
          <w:sz w:val="26"/>
          <w:szCs w:val="26"/>
        </w:rPr>
      </w:pPr>
    </w:p>
    <w:p w14:paraId="3AB6D883" w14:textId="1F88BC59" w:rsidR="0023549E" w:rsidRPr="0068796A" w:rsidRDefault="0023549E" w:rsidP="0068796A">
      <w:pPr>
        <w:pStyle w:val="Titre1"/>
      </w:pPr>
      <w:r w:rsidRPr="0068796A">
        <w:lastRenderedPageBreak/>
        <w:drawing>
          <wp:anchor distT="0" distB="0" distL="114300" distR="114300" simplePos="0" relativeHeight="251665408" behindDoc="1" locked="0" layoutInCell="1" allowOverlap="1" wp14:anchorId="0D2E02A8" wp14:editId="65B6E76C">
            <wp:simplePos x="0" y="0"/>
            <wp:positionH relativeFrom="margin">
              <wp:posOffset>8082364</wp:posOffset>
            </wp:positionH>
            <wp:positionV relativeFrom="paragraph">
              <wp:posOffset>0</wp:posOffset>
            </wp:positionV>
            <wp:extent cx="1285875" cy="807085"/>
            <wp:effectExtent l="0" t="0" r="9525" b="0"/>
            <wp:wrapSquare wrapText="bothSides"/>
            <wp:docPr id="1389164466" name="Image 1" descr="Logo association Valentin Haüy avec les aveugles et les malvoyant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684520" name="Image 1" descr="Logo association Valentin Haüy avec les aveugles et les malvoyants 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796A">
        <w:t>Pour les bénéficiaires de l’AAH : (Garantie de Ressources aux Personnes Handicapées) et (Majoration Vie Autonome)</w:t>
      </w:r>
    </w:p>
    <w:p w14:paraId="3BB70729" w14:textId="77777777" w:rsidR="007C223E" w:rsidRPr="007C223E" w:rsidRDefault="007C223E" w:rsidP="007C223E"/>
    <w:p w14:paraId="064844B8" w14:textId="35FDEB6B" w:rsidR="00D30C87" w:rsidRDefault="00D30C87" w:rsidP="00D30C87">
      <w:pPr>
        <w:spacing w:before="40" w:after="40" w:line="240" w:lineRule="auto"/>
        <w:rPr>
          <w:rFonts w:ascii="Arial" w:eastAsia="MS PMincho" w:hAnsi="Arial" w:cs="Arial"/>
          <w:color w:val="000000"/>
          <w:kern w:val="0"/>
          <w:sz w:val="26"/>
          <w:szCs w:val="26"/>
          <w14:ligatures w14:val="none"/>
        </w:rPr>
      </w:pPr>
    </w:p>
    <w:tbl>
      <w:tblPr>
        <w:tblStyle w:val="Grilledutableau"/>
        <w:tblW w:w="15451" w:type="dxa"/>
        <w:tblInd w:w="-572" w:type="dxa"/>
        <w:tblLook w:val="04A0" w:firstRow="1" w:lastRow="0" w:firstColumn="1" w:lastColumn="0" w:noHBand="0" w:noVBand="1"/>
      </w:tblPr>
      <w:tblGrid>
        <w:gridCol w:w="2263"/>
        <w:gridCol w:w="13188"/>
      </w:tblGrid>
      <w:tr w:rsidR="00834771" w14:paraId="69171B01" w14:textId="77777777" w:rsidTr="007C223E">
        <w:trPr>
          <w:trHeight w:val="870"/>
          <w:tblHeader/>
        </w:trPr>
        <w:tc>
          <w:tcPr>
            <w:tcW w:w="2263" w:type="dxa"/>
            <w:shd w:val="clear" w:color="auto" w:fill="DD4814"/>
            <w:vAlign w:val="center"/>
          </w:tcPr>
          <w:p w14:paraId="577F8EED" w14:textId="72C92428" w:rsidR="00834771" w:rsidRDefault="00834771" w:rsidP="0023549E">
            <w:pPr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D0D0D" w:themeColor="text1" w:themeTint="F2"/>
                <w:sz w:val="26"/>
                <w:szCs w:val="26"/>
              </w:rPr>
              <w:t>T</w:t>
            </w:r>
            <w:r w:rsidRPr="00485518">
              <w:rPr>
                <w:rFonts w:ascii="Arial" w:hAnsi="Arial" w:cs="Arial"/>
                <w:b/>
                <w:bCs/>
                <w:color w:val="0D0D0D" w:themeColor="text1" w:themeTint="F2"/>
                <w:sz w:val="26"/>
                <w:szCs w:val="26"/>
              </w:rPr>
              <w:t>ype</w:t>
            </w:r>
          </w:p>
        </w:tc>
        <w:tc>
          <w:tcPr>
            <w:tcW w:w="13188" w:type="dxa"/>
            <w:shd w:val="clear" w:color="auto" w:fill="DD4814"/>
            <w:vAlign w:val="center"/>
          </w:tcPr>
          <w:p w14:paraId="538E68DF" w14:textId="77777777" w:rsidR="00834771" w:rsidRPr="00485518" w:rsidRDefault="00834771" w:rsidP="00834771">
            <w:pPr>
              <w:jc w:val="center"/>
              <w:rPr>
                <w:rFonts w:ascii="Arial" w:hAnsi="Arial" w:cs="Arial"/>
                <w:color w:val="0D0D0D" w:themeColor="text1" w:themeTint="F2"/>
                <w:sz w:val="26"/>
                <w:szCs w:val="26"/>
              </w:rPr>
            </w:pPr>
            <w:r w:rsidRPr="00485518">
              <w:rPr>
                <w:rFonts w:ascii="Arial" w:hAnsi="Arial" w:cs="Arial"/>
                <w:b/>
                <w:bCs/>
                <w:color w:val="0D0D0D" w:themeColor="text1" w:themeTint="F2"/>
                <w:sz w:val="26"/>
                <w:szCs w:val="26"/>
              </w:rPr>
              <w:t>Pour les bénéficiaires de l’AAH : GRPH</w:t>
            </w:r>
          </w:p>
          <w:p w14:paraId="539AF0DD" w14:textId="195A03DD" w:rsidR="00834771" w:rsidRDefault="00834771" w:rsidP="00834771">
            <w:pPr>
              <w:jc w:val="center"/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</w:pPr>
            <w:r w:rsidRPr="00485518">
              <w:rPr>
                <w:rFonts w:ascii="Arial" w:hAnsi="Arial" w:cs="Arial"/>
                <w:b/>
                <w:bCs/>
                <w:color w:val="0D0D0D" w:themeColor="text1" w:themeTint="F2"/>
                <w:sz w:val="26"/>
                <w:szCs w:val="26"/>
              </w:rPr>
              <w:t>(Garantie de Ressources aux Personnes Handicapées)</w:t>
            </w:r>
          </w:p>
        </w:tc>
      </w:tr>
      <w:tr w:rsidR="00834771" w14:paraId="49EF613D" w14:textId="77777777" w:rsidTr="009407C9">
        <w:trPr>
          <w:trHeight w:val="1818"/>
        </w:trPr>
        <w:tc>
          <w:tcPr>
            <w:tcW w:w="2263" w:type="dxa"/>
            <w:shd w:val="clear" w:color="auto" w:fill="DD4814"/>
            <w:vAlign w:val="center"/>
          </w:tcPr>
          <w:p w14:paraId="3673F052" w14:textId="6ADF8E65" w:rsidR="00834771" w:rsidRDefault="00834771" w:rsidP="0023549E">
            <w:pPr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</w:pPr>
            <w:r w:rsidRPr="00485518">
              <w:rPr>
                <w:rFonts w:ascii="Arial" w:hAnsi="Arial" w:cs="Arial"/>
                <w:b/>
                <w:bCs/>
                <w:color w:val="0D0D0D" w:themeColor="text1" w:themeTint="F2"/>
                <w:sz w:val="26"/>
                <w:szCs w:val="26"/>
              </w:rPr>
              <w:t>Condition d’âge</w:t>
            </w:r>
          </w:p>
        </w:tc>
        <w:tc>
          <w:tcPr>
            <w:tcW w:w="13188" w:type="dxa"/>
            <w:vAlign w:val="center"/>
          </w:tcPr>
          <w:p w14:paraId="1D669621" w14:textId="77777777" w:rsidR="00834771" w:rsidRPr="00CF0470" w:rsidRDefault="00834771" w:rsidP="0023549E">
            <w:pPr>
              <w:rPr>
                <w:rFonts w:ascii="Arial" w:hAnsi="Arial" w:cs="Arial"/>
                <w:sz w:val="26"/>
                <w:szCs w:val="26"/>
              </w:rPr>
            </w:pPr>
            <w:r w:rsidRPr="00CF0470">
              <w:rPr>
                <w:rFonts w:ascii="Arial" w:hAnsi="Arial" w:cs="Arial"/>
                <w:sz w:val="26"/>
                <w:szCs w:val="26"/>
              </w:rPr>
              <w:t>La GRPH est supprimée depuis le 1er décembre 2019.</w:t>
            </w:r>
          </w:p>
          <w:p w14:paraId="039A36F3" w14:textId="77777777" w:rsidR="00834771" w:rsidRPr="00CF0470" w:rsidRDefault="00834771" w:rsidP="0023549E">
            <w:pPr>
              <w:rPr>
                <w:rFonts w:ascii="Arial" w:hAnsi="Arial" w:cs="Arial"/>
                <w:sz w:val="26"/>
                <w:szCs w:val="26"/>
              </w:rPr>
            </w:pPr>
            <w:r w:rsidRPr="00CF0470">
              <w:rPr>
                <w:rFonts w:ascii="Arial" w:hAnsi="Arial" w:cs="Arial"/>
                <w:sz w:val="26"/>
                <w:szCs w:val="26"/>
              </w:rPr>
              <w:t>Seules les personnes qui en bénéficiaient avant cette date peuvent continuer à la percevoir pour une durée maximum de 10 ans avant sa suppression.</w:t>
            </w:r>
          </w:p>
          <w:p w14:paraId="18D75667" w14:textId="4E3ABC47" w:rsidR="00834771" w:rsidRDefault="00834771" w:rsidP="0023549E">
            <w:pPr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</w:pPr>
            <w:r w:rsidRPr="00CF0470">
              <w:rPr>
                <w:rFonts w:ascii="Arial" w:hAnsi="Arial" w:cs="Arial"/>
                <w:sz w:val="26"/>
                <w:szCs w:val="26"/>
              </w:rPr>
              <w:t>Mêmes conditions que l’AAH. La GRPH peut être versée après 62 ans si les conditions d’ouverture sont remplies.</w:t>
            </w:r>
          </w:p>
        </w:tc>
      </w:tr>
      <w:tr w:rsidR="00834771" w14:paraId="1571C8B0" w14:textId="77777777" w:rsidTr="009407C9">
        <w:trPr>
          <w:trHeight w:val="465"/>
        </w:trPr>
        <w:tc>
          <w:tcPr>
            <w:tcW w:w="2263" w:type="dxa"/>
            <w:shd w:val="clear" w:color="auto" w:fill="DD4814"/>
            <w:vAlign w:val="center"/>
          </w:tcPr>
          <w:p w14:paraId="7F723D3E" w14:textId="7C7B59A4" w:rsidR="00834771" w:rsidRDefault="00834771" w:rsidP="0023549E">
            <w:pPr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</w:pPr>
            <w:r w:rsidRPr="00485518">
              <w:rPr>
                <w:rFonts w:ascii="Arial" w:hAnsi="Arial" w:cs="Arial"/>
                <w:b/>
                <w:bCs/>
                <w:color w:val="0D0D0D" w:themeColor="text1" w:themeTint="F2"/>
                <w:sz w:val="26"/>
                <w:szCs w:val="26"/>
              </w:rPr>
              <w:t>Résidence</w:t>
            </w:r>
          </w:p>
        </w:tc>
        <w:tc>
          <w:tcPr>
            <w:tcW w:w="13188" w:type="dxa"/>
            <w:shd w:val="clear" w:color="auto" w:fill="FFE3E3"/>
            <w:vAlign w:val="center"/>
          </w:tcPr>
          <w:p w14:paraId="5CA47CCA" w14:textId="232ADFCB" w:rsidR="00834771" w:rsidRDefault="00834771" w:rsidP="0023549E">
            <w:pPr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</w:pPr>
            <w:r w:rsidRPr="00CF0470">
              <w:rPr>
                <w:rFonts w:ascii="Arial" w:hAnsi="Arial" w:cs="Arial"/>
                <w:sz w:val="26"/>
                <w:szCs w:val="26"/>
              </w:rPr>
              <w:t>Mêmes conditions que l’AAH</w:t>
            </w:r>
          </w:p>
        </w:tc>
      </w:tr>
      <w:tr w:rsidR="00834771" w14:paraId="5A5A4819" w14:textId="77777777" w:rsidTr="00834771">
        <w:tc>
          <w:tcPr>
            <w:tcW w:w="2263" w:type="dxa"/>
            <w:shd w:val="clear" w:color="auto" w:fill="DD4814"/>
            <w:vAlign w:val="center"/>
          </w:tcPr>
          <w:p w14:paraId="492CB6C4" w14:textId="049A36E6" w:rsidR="00834771" w:rsidRDefault="00834771" w:rsidP="0023549E">
            <w:pPr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</w:pPr>
            <w:r w:rsidRPr="00485518">
              <w:rPr>
                <w:rFonts w:ascii="Arial" w:hAnsi="Arial" w:cs="Arial"/>
                <w:b/>
                <w:bCs/>
                <w:color w:val="0D0D0D" w:themeColor="text1" w:themeTint="F2"/>
                <w:sz w:val="26"/>
                <w:szCs w:val="26"/>
              </w:rPr>
              <w:t>Incapacité</w:t>
            </w:r>
          </w:p>
        </w:tc>
        <w:tc>
          <w:tcPr>
            <w:tcW w:w="13188" w:type="dxa"/>
            <w:vAlign w:val="center"/>
          </w:tcPr>
          <w:p w14:paraId="24387EAF" w14:textId="2660C15D" w:rsidR="004D5FF8" w:rsidRDefault="00834771" w:rsidP="004D5FF8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  <w:r w:rsidRPr="004D5FF8">
              <w:rPr>
                <w:rFonts w:ascii="Arial" w:hAnsi="Arial" w:cs="Arial"/>
                <w:sz w:val="26"/>
                <w:szCs w:val="26"/>
              </w:rPr>
              <w:t xml:space="preserve">Être bénéficiaire </w:t>
            </w:r>
            <w:r w:rsidRPr="004D5FF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de l’AAH </w:t>
            </w:r>
            <w:r w:rsidRPr="004D5FF8">
              <w:rPr>
                <w:rFonts w:ascii="Arial" w:hAnsi="Arial" w:cs="Arial"/>
                <w:sz w:val="26"/>
                <w:szCs w:val="26"/>
              </w:rPr>
              <w:t>à taux plein.</w:t>
            </w:r>
          </w:p>
          <w:p w14:paraId="3EEC2DE7" w14:textId="3F2FB4D1" w:rsidR="00834771" w:rsidRPr="004D5FF8" w:rsidRDefault="00834771" w:rsidP="004D5FF8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6"/>
                <w:szCs w:val="26"/>
              </w:rPr>
            </w:pPr>
            <w:r w:rsidRPr="004D5FF8">
              <w:rPr>
                <w:rFonts w:ascii="Arial" w:hAnsi="Arial" w:cs="Arial"/>
                <w:sz w:val="26"/>
                <w:szCs w:val="26"/>
              </w:rPr>
              <w:t xml:space="preserve">Avoir une incapacité de travail inférieure à 5 %, compte tenu du handicap. </w:t>
            </w:r>
          </w:p>
          <w:p w14:paraId="536C6B32" w14:textId="7A2DBC32" w:rsidR="00834771" w:rsidRPr="004D5FF8" w:rsidRDefault="00834771" w:rsidP="004D5FF8">
            <w:pPr>
              <w:pStyle w:val="Paragraphedeliste"/>
              <w:numPr>
                <w:ilvl w:val="0"/>
                <w:numId w:val="5"/>
              </w:numPr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</w:pPr>
            <w:r w:rsidRPr="004D5FF8">
              <w:rPr>
                <w:rFonts w:ascii="Arial" w:hAnsi="Arial" w:cs="Arial"/>
                <w:sz w:val="26"/>
                <w:szCs w:val="26"/>
              </w:rPr>
              <w:t>Disposer d’un logement indépendant.</w:t>
            </w:r>
          </w:p>
        </w:tc>
      </w:tr>
      <w:tr w:rsidR="00834771" w14:paraId="11BAAB25" w14:textId="77777777" w:rsidTr="009407C9">
        <w:trPr>
          <w:trHeight w:val="738"/>
        </w:trPr>
        <w:tc>
          <w:tcPr>
            <w:tcW w:w="2263" w:type="dxa"/>
            <w:shd w:val="clear" w:color="auto" w:fill="DD4814"/>
            <w:vAlign w:val="center"/>
          </w:tcPr>
          <w:p w14:paraId="548CCD5C" w14:textId="76BCB09A" w:rsidR="00834771" w:rsidRDefault="00834771" w:rsidP="0023549E">
            <w:pPr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</w:pPr>
            <w:r w:rsidRPr="00485518">
              <w:rPr>
                <w:rFonts w:ascii="Arial" w:hAnsi="Arial" w:cs="Arial"/>
                <w:b/>
                <w:bCs/>
                <w:color w:val="0D0D0D" w:themeColor="text1" w:themeTint="F2"/>
                <w:sz w:val="26"/>
                <w:szCs w:val="26"/>
              </w:rPr>
              <w:t>Ressources</w:t>
            </w:r>
          </w:p>
        </w:tc>
        <w:tc>
          <w:tcPr>
            <w:tcW w:w="13188" w:type="dxa"/>
            <w:shd w:val="clear" w:color="auto" w:fill="FFE3E3"/>
            <w:vAlign w:val="center"/>
          </w:tcPr>
          <w:p w14:paraId="38AF2567" w14:textId="3FD00B31" w:rsidR="00834771" w:rsidRDefault="00834771" w:rsidP="0023549E">
            <w:pPr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</w:pPr>
            <w:r w:rsidRPr="00CF0470">
              <w:rPr>
                <w:rFonts w:ascii="Arial" w:hAnsi="Arial" w:cs="Arial"/>
                <w:sz w:val="26"/>
                <w:szCs w:val="26"/>
              </w:rPr>
              <w:t>Ne pas avoir perçu de revenu d’activité professionnelle propre depuis un an et ne pas exercer d’activité professionnelle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834771" w14:paraId="3695CDA2" w14:textId="77777777" w:rsidTr="009407C9">
        <w:trPr>
          <w:trHeight w:val="834"/>
        </w:trPr>
        <w:tc>
          <w:tcPr>
            <w:tcW w:w="2263" w:type="dxa"/>
            <w:shd w:val="clear" w:color="auto" w:fill="DD4814"/>
            <w:vAlign w:val="center"/>
          </w:tcPr>
          <w:p w14:paraId="414459A5" w14:textId="576F9E4D" w:rsidR="00834771" w:rsidRDefault="00834771" w:rsidP="0023549E">
            <w:pPr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</w:pPr>
            <w:r w:rsidRPr="00485518">
              <w:rPr>
                <w:rFonts w:ascii="Arial" w:hAnsi="Arial" w:cs="Arial"/>
                <w:b/>
                <w:bCs/>
                <w:color w:val="0D0D0D" w:themeColor="text1" w:themeTint="F2"/>
                <w:sz w:val="26"/>
                <w:szCs w:val="26"/>
              </w:rPr>
              <w:t>Montant</w:t>
            </w:r>
          </w:p>
        </w:tc>
        <w:tc>
          <w:tcPr>
            <w:tcW w:w="13188" w:type="dxa"/>
            <w:vAlign w:val="center"/>
          </w:tcPr>
          <w:p w14:paraId="7018DD4A" w14:textId="77777777" w:rsidR="00834771" w:rsidRPr="00CF0470" w:rsidRDefault="00834771" w:rsidP="0023549E">
            <w:pPr>
              <w:rPr>
                <w:rFonts w:ascii="Arial" w:hAnsi="Arial" w:cs="Arial"/>
                <w:sz w:val="26"/>
                <w:szCs w:val="26"/>
              </w:rPr>
            </w:pPr>
            <w:r w:rsidRPr="00CF0470">
              <w:rPr>
                <w:rFonts w:ascii="Arial" w:hAnsi="Arial" w:cs="Arial"/>
                <w:sz w:val="26"/>
                <w:szCs w:val="26"/>
              </w:rPr>
              <w:t xml:space="preserve">Le montant du complément de ressources est figé jusqu’en 2029 : </w:t>
            </w:r>
            <w:r w:rsidRPr="00CF0470">
              <w:rPr>
                <w:rFonts w:ascii="Arial" w:hAnsi="Arial" w:cs="Arial"/>
                <w:b/>
                <w:bCs/>
                <w:sz w:val="26"/>
                <w:szCs w:val="26"/>
              </w:rPr>
              <w:t>179,31 €</w:t>
            </w:r>
            <w:r w:rsidRPr="00CF0470">
              <w:rPr>
                <w:rFonts w:ascii="Arial" w:hAnsi="Arial" w:cs="Arial"/>
                <w:sz w:val="26"/>
                <w:szCs w:val="26"/>
              </w:rPr>
              <w:t xml:space="preserve"> avant sa suppression définitive.</w:t>
            </w:r>
          </w:p>
          <w:p w14:paraId="762FF969" w14:textId="04EE609D" w:rsidR="00834771" w:rsidRDefault="00834771" w:rsidP="0023549E">
            <w:pPr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</w:pPr>
            <w:r w:rsidRPr="00CF0470">
              <w:rPr>
                <w:rFonts w:ascii="Arial" w:hAnsi="Arial" w:cs="Arial"/>
                <w:sz w:val="26"/>
                <w:szCs w:val="26"/>
              </w:rPr>
              <w:t>La GRPH ne se cumule pas avec la MVA.</w:t>
            </w:r>
          </w:p>
        </w:tc>
      </w:tr>
    </w:tbl>
    <w:p w14:paraId="1DD6D380" w14:textId="012343E2" w:rsidR="00834771" w:rsidRDefault="00834771" w:rsidP="00834771">
      <w:pPr>
        <w:pStyle w:val="Titre1"/>
        <w:rPr>
          <w:sz w:val="36"/>
          <w:szCs w:val="36"/>
        </w:rPr>
      </w:pPr>
    </w:p>
    <w:p w14:paraId="0DA4EB20" w14:textId="77777777" w:rsidR="00834771" w:rsidRDefault="00834771" w:rsidP="00834771"/>
    <w:p w14:paraId="580788AF" w14:textId="77777777" w:rsidR="00834771" w:rsidRDefault="00834771" w:rsidP="00834771"/>
    <w:p w14:paraId="6F7166DD" w14:textId="2870FEEC" w:rsidR="004D5FF8" w:rsidRDefault="004D5FF8">
      <w:pPr>
        <w:rPr>
          <w:rFonts w:asciiTheme="majorHAnsi" w:eastAsiaTheme="majorEastAsia" w:hAnsiTheme="majorHAnsi" w:cstheme="majorBidi"/>
          <w:color w:val="0F4761" w:themeColor="accent1" w:themeShade="BF"/>
          <w:sz w:val="36"/>
          <w:szCs w:val="36"/>
        </w:rPr>
      </w:pPr>
    </w:p>
    <w:p w14:paraId="78F2DB75" w14:textId="5AE81113" w:rsidR="00834771" w:rsidRDefault="00834771" w:rsidP="0068796A">
      <w:pPr>
        <w:pStyle w:val="Titre1"/>
      </w:pPr>
      <w:r w:rsidRPr="0068796A">
        <w:drawing>
          <wp:anchor distT="0" distB="0" distL="114300" distR="114300" simplePos="0" relativeHeight="251669504" behindDoc="1" locked="0" layoutInCell="1" allowOverlap="1" wp14:anchorId="01325972" wp14:editId="57BB69A2">
            <wp:simplePos x="0" y="0"/>
            <wp:positionH relativeFrom="margin">
              <wp:posOffset>7974551</wp:posOffset>
            </wp:positionH>
            <wp:positionV relativeFrom="paragraph">
              <wp:posOffset>166</wp:posOffset>
            </wp:positionV>
            <wp:extent cx="1285875" cy="807085"/>
            <wp:effectExtent l="0" t="0" r="9525" b="0"/>
            <wp:wrapSquare wrapText="bothSides"/>
            <wp:docPr id="634150651" name="Image 1" descr="Logo association Valentin Haüy avec les aveugles et les malvoyant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684520" name="Image 1" descr="Logo association Valentin Haüy avec les aveugles et les malvoyants 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796A">
        <w:t>Pour les bénéficiaires de l’AAH : Majoration Vie Autonome</w:t>
      </w:r>
    </w:p>
    <w:p w14:paraId="7C1F9973" w14:textId="77777777" w:rsidR="0068796A" w:rsidRDefault="0068796A" w:rsidP="0068796A"/>
    <w:p w14:paraId="630CEF69" w14:textId="77777777" w:rsidR="0068796A" w:rsidRPr="0068796A" w:rsidRDefault="0068796A" w:rsidP="0068796A"/>
    <w:tbl>
      <w:tblPr>
        <w:tblStyle w:val="Grilledutableau"/>
        <w:tblW w:w="15451" w:type="dxa"/>
        <w:tblInd w:w="-572" w:type="dxa"/>
        <w:tblLook w:val="04A0" w:firstRow="1" w:lastRow="0" w:firstColumn="1" w:lastColumn="0" w:noHBand="0" w:noVBand="1"/>
      </w:tblPr>
      <w:tblGrid>
        <w:gridCol w:w="2263"/>
        <w:gridCol w:w="13188"/>
      </w:tblGrid>
      <w:tr w:rsidR="00834771" w14:paraId="1A8555D3" w14:textId="77777777" w:rsidTr="00B91164">
        <w:trPr>
          <w:tblHeader/>
        </w:trPr>
        <w:tc>
          <w:tcPr>
            <w:tcW w:w="2263" w:type="dxa"/>
            <w:shd w:val="clear" w:color="auto" w:fill="DD4814"/>
            <w:vAlign w:val="center"/>
          </w:tcPr>
          <w:p w14:paraId="159682EA" w14:textId="77777777" w:rsidR="00834771" w:rsidRDefault="00834771" w:rsidP="005D52C8">
            <w:pPr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D0D0D" w:themeColor="text1" w:themeTint="F2"/>
                <w:sz w:val="26"/>
                <w:szCs w:val="26"/>
              </w:rPr>
              <w:t>T</w:t>
            </w:r>
            <w:r w:rsidRPr="00485518">
              <w:rPr>
                <w:rFonts w:ascii="Arial" w:hAnsi="Arial" w:cs="Arial"/>
                <w:b/>
                <w:bCs/>
                <w:color w:val="0D0D0D" w:themeColor="text1" w:themeTint="F2"/>
                <w:sz w:val="26"/>
                <w:szCs w:val="26"/>
              </w:rPr>
              <w:t>ype</w:t>
            </w:r>
          </w:p>
        </w:tc>
        <w:tc>
          <w:tcPr>
            <w:tcW w:w="13188" w:type="dxa"/>
            <w:shd w:val="clear" w:color="auto" w:fill="DD4814"/>
          </w:tcPr>
          <w:p w14:paraId="6B83723B" w14:textId="77777777" w:rsidR="00834771" w:rsidRPr="00485518" w:rsidRDefault="00834771" w:rsidP="005D52C8">
            <w:pPr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6"/>
                <w:szCs w:val="26"/>
              </w:rPr>
            </w:pPr>
          </w:p>
          <w:p w14:paraId="2CC22FF4" w14:textId="77777777" w:rsidR="00834771" w:rsidRPr="00485518" w:rsidRDefault="00834771" w:rsidP="005D52C8">
            <w:pPr>
              <w:tabs>
                <w:tab w:val="left" w:pos="1485"/>
              </w:tabs>
              <w:jc w:val="center"/>
              <w:rPr>
                <w:rFonts w:ascii="Arial" w:hAnsi="Arial" w:cs="Arial"/>
                <w:color w:val="0D0D0D" w:themeColor="text1" w:themeTint="F2"/>
                <w:sz w:val="26"/>
                <w:szCs w:val="26"/>
              </w:rPr>
            </w:pPr>
            <w:r w:rsidRPr="00485518">
              <w:rPr>
                <w:rFonts w:ascii="Arial" w:hAnsi="Arial" w:cs="Arial"/>
                <w:b/>
                <w:bCs/>
                <w:color w:val="0D0D0D" w:themeColor="text1" w:themeTint="F2"/>
                <w:sz w:val="26"/>
                <w:szCs w:val="26"/>
              </w:rPr>
              <w:t>Pour les bénéficiaires de l’AAH :</w:t>
            </w:r>
          </w:p>
          <w:p w14:paraId="30B67A7C" w14:textId="77777777" w:rsidR="00834771" w:rsidRPr="00485518" w:rsidRDefault="00834771" w:rsidP="005D52C8">
            <w:pPr>
              <w:tabs>
                <w:tab w:val="left" w:pos="1485"/>
              </w:tabs>
              <w:jc w:val="center"/>
              <w:rPr>
                <w:rFonts w:ascii="Arial" w:hAnsi="Arial" w:cs="Arial"/>
                <w:color w:val="0D0D0D" w:themeColor="text1" w:themeTint="F2"/>
                <w:sz w:val="26"/>
                <w:szCs w:val="26"/>
              </w:rPr>
            </w:pPr>
            <w:r w:rsidRPr="00485518">
              <w:rPr>
                <w:rFonts w:ascii="Arial" w:hAnsi="Arial" w:cs="Arial"/>
                <w:b/>
                <w:bCs/>
                <w:color w:val="0D0D0D" w:themeColor="text1" w:themeTint="F2"/>
                <w:sz w:val="26"/>
                <w:szCs w:val="26"/>
              </w:rPr>
              <w:t>MVA (Majoration Vie Autonome)</w:t>
            </w:r>
          </w:p>
          <w:p w14:paraId="6385AE87" w14:textId="77777777" w:rsidR="00834771" w:rsidRDefault="00834771" w:rsidP="005D52C8">
            <w:pPr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</w:pPr>
          </w:p>
        </w:tc>
      </w:tr>
      <w:tr w:rsidR="00834771" w14:paraId="40EE8EDE" w14:textId="77777777" w:rsidTr="009407C9">
        <w:trPr>
          <w:trHeight w:val="471"/>
        </w:trPr>
        <w:tc>
          <w:tcPr>
            <w:tcW w:w="2263" w:type="dxa"/>
            <w:shd w:val="clear" w:color="auto" w:fill="DD4814"/>
            <w:vAlign w:val="center"/>
          </w:tcPr>
          <w:p w14:paraId="083A3EE5" w14:textId="77777777" w:rsidR="00834771" w:rsidRDefault="00834771" w:rsidP="005D52C8">
            <w:pPr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</w:pPr>
            <w:r w:rsidRPr="00485518">
              <w:rPr>
                <w:rFonts w:ascii="Arial" w:hAnsi="Arial" w:cs="Arial"/>
                <w:b/>
                <w:bCs/>
                <w:color w:val="0D0D0D" w:themeColor="text1" w:themeTint="F2"/>
                <w:sz w:val="26"/>
                <w:szCs w:val="26"/>
              </w:rPr>
              <w:t>Condition d’âge</w:t>
            </w:r>
          </w:p>
        </w:tc>
        <w:tc>
          <w:tcPr>
            <w:tcW w:w="13188" w:type="dxa"/>
          </w:tcPr>
          <w:p w14:paraId="5FAE6892" w14:textId="77777777" w:rsidR="00834771" w:rsidRDefault="00834771" w:rsidP="006D75C1">
            <w:pPr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</w:pPr>
            <w:r w:rsidRPr="00CF0470">
              <w:rPr>
                <w:rFonts w:ascii="Arial" w:hAnsi="Arial" w:cs="Arial"/>
                <w:sz w:val="26"/>
                <w:szCs w:val="26"/>
              </w:rPr>
              <w:t>Mêmes conditions que l’AAH. La MVA peut être versée après 62 ans si les conditions d’ouverture sont remplies.</w:t>
            </w:r>
          </w:p>
        </w:tc>
      </w:tr>
      <w:tr w:rsidR="00834771" w14:paraId="22DC4A6E" w14:textId="77777777" w:rsidTr="009407C9">
        <w:trPr>
          <w:trHeight w:val="549"/>
        </w:trPr>
        <w:tc>
          <w:tcPr>
            <w:tcW w:w="2263" w:type="dxa"/>
            <w:shd w:val="clear" w:color="auto" w:fill="DD4814"/>
            <w:vAlign w:val="center"/>
          </w:tcPr>
          <w:p w14:paraId="1AEBAEB8" w14:textId="77777777" w:rsidR="00834771" w:rsidRDefault="00834771" w:rsidP="005D52C8">
            <w:pPr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</w:pPr>
            <w:r w:rsidRPr="00485518">
              <w:rPr>
                <w:rFonts w:ascii="Arial" w:hAnsi="Arial" w:cs="Arial"/>
                <w:b/>
                <w:bCs/>
                <w:color w:val="0D0D0D" w:themeColor="text1" w:themeTint="F2"/>
                <w:sz w:val="26"/>
                <w:szCs w:val="26"/>
              </w:rPr>
              <w:t>Résidence</w:t>
            </w:r>
          </w:p>
        </w:tc>
        <w:tc>
          <w:tcPr>
            <w:tcW w:w="13188" w:type="dxa"/>
            <w:shd w:val="clear" w:color="auto" w:fill="FFE3E3"/>
          </w:tcPr>
          <w:p w14:paraId="6C3AB26F" w14:textId="77777777" w:rsidR="00834771" w:rsidRDefault="00834771" w:rsidP="005D52C8">
            <w:pPr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</w:pPr>
            <w:r w:rsidRPr="00CF0470">
              <w:rPr>
                <w:rFonts w:ascii="Arial" w:hAnsi="Arial" w:cs="Arial"/>
                <w:sz w:val="26"/>
                <w:szCs w:val="26"/>
              </w:rPr>
              <w:t>Mêmes conditions que l’AAH</w:t>
            </w:r>
          </w:p>
        </w:tc>
      </w:tr>
      <w:tr w:rsidR="00834771" w14:paraId="64F53397" w14:textId="77777777" w:rsidTr="009407C9">
        <w:trPr>
          <w:trHeight w:val="1691"/>
        </w:trPr>
        <w:tc>
          <w:tcPr>
            <w:tcW w:w="2263" w:type="dxa"/>
            <w:shd w:val="clear" w:color="auto" w:fill="DD4814"/>
            <w:vAlign w:val="center"/>
          </w:tcPr>
          <w:p w14:paraId="78202C68" w14:textId="77777777" w:rsidR="00834771" w:rsidRDefault="00834771" w:rsidP="005D52C8">
            <w:pPr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</w:pPr>
            <w:r w:rsidRPr="00485518">
              <w:rPr>
                <w:rFonts w:ascii="Arial" w:hAnsi="Arial" w:cs="Arial"/>
                <w:b/>
                <w:bCs/>
                <w:color w:val="0D0D0D" w:themeColor="text1" w:themeTint="F2"/>
                <w:sz w:val="26"/>
                <w:szCs w:val="26"/>
              </w:rPr>
              <w:t>Incapacité</w:t>
            </w:r>
          </w:p>
        </w:tc>
        <w:tc>
          <w:tcPr>
            <w:tcW w:w="13188" w:type="dxa"/>
          </w:tcPr>
          <w:p w14:paraId="2E424BC2" w14:textId="77777777" w:rsidR="00834771" w:rsidRPr="00CF0470" w:rsidRDefault="00834771" w:rsidP="005D52C8">
            <w:pPr>
              <w:rPr>
                <w:rFonts w:ascii="Arial" w:hAnsi="Arial" w:cs="Arial"/>
                <w:sz w:val="26"/>
                <w:szCs w:val="26"/>
              </w:rPr>
            </w:pPr>
            <w:r w:rsidRPr="00CF0470">
              <w:rPr>
                <w:rFonts w:ascii="Arial" w:hAnsi="Arial" w:cs="Arial"/>
                <w:sz w:val="26"/>
                <w:szCs w:val="26"/>
              </w:rPr>
              <w:t xml:space="preserve">- Être bénéficiaire de </w:t>
            </w:r>
            <w:r w:rsidRPr="00CF0470">
              <w:rPr>
                <w:rFonts w:ascii="Arial" w:hAnsi="Arial" w:cs="Arial"/>
                <w:b/>
                <w:bCs/>
                <w:sz w:val="26"/>
                <w:szCs w:val="26"/>
              </w:rPr>
              <w:t>l’AAH à taux plein</w:t>
            </w:r>
            <w:r w:rsidRPr="00CF0470">
              <w:rPr>
                <w:rFonts w:ascii="Arial" w:hAnsi="Arial" w:cs="Arial"/>
                <w:sz w:val="26"/>
                <w:szCs w:val="26"/>
              </w:rPr>
              <w:t xml:space="preserve"> ou en complément d’une pension d’invalidité ou de vieillesse ou d’une rente d’accident du travail.</w:t>
            </w:r>
          </w:p>
          <w:p w14:paraId="4061107E" w14:textId="77777777" w:rsidR="00834771" w:rsidRPr="00CF0470" w:rsidRDefault="00834771" w:rsidP="005D52C8">
            <w:pPr>
              <w:rPr>
                <w:rFonts w:ascii="Arial" w:hAnsi="Arial" w:cs="Arial"/>
                <w:sz w:val="26"/>
                <w:szCs w:val="26"/>
              </w:rPr>
            </w:pPr>
            <w:r w:rsidRPr="00CF0470">
              <w:rPr>
                <w:rFonts w:ascii="Arial" w:hAnsi="Arial" w:cs="Arial"/>
                <w:sz w:val="26"/>
                <w:szCs w:val="26"/>
              </w:rPr>
              <w:t>- Ne pas avoir perçu de revenu d’activité professionnelle.</w:t>
            </w:r>
          </w:p>
          <w:p w14:paraId="66C28265" w14:textId="77777777" w:rsidR="00834771" w:rsidRPr="00CF0470" w:rsidRDefault="00834771" w:rsidP="005D52C8">
            <w:pPr>
              <w:rPr>
                <w:rFonts w:ascii="Arial" w:hAnsi="Arial" w:cs="Arial"/>
                <w:sz w:val="26"/>
                <w:szCs w:val="26"/>
              </w:rPr>
            </w:pPr>
            <w:r w:rsidRPr="00CF0470">
              <w:rPr>
                <w:rFonts w:ascii="Arial" w:hAnsi="Arial" w:cs="Arial"/>
                <w:sz w:val="26"/>
                <w:szCs w:val="26"/>
              </w:rPr>
              <w:t>- Disposer d’un logement indépendant.</w:t>
            </w:r>
          </w:p>
          <w:p w14:paraId="4F11479D" w14:textId="77777777" w:rsidR="00834771" w:rsidRDefault="00834771" w:rsidP="005D52C8">
            <w:pPr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</w:pPr>
            <w:r w:rsidRPr="00CF0470">
              <w:rPr>
                <w:rFonts w:ascii="Arial" w:hAnsi="Arial" w:cs="Arial"/>
                <w:sz w:val="26"/>
                <w:szCs w:val="26"/>
              </w:rPr>
              <w:t>- Percevoir une aide au logement.</w:t>
            </w:r>
          </w:p>
        </w:tc>
      </w:tr>
      <w:tr w:rsidR="00834771" w14:paraId="47DAE794" w14:textId="77777777" w:rsidTr="009407C9">
        <w:trPr>
          <w:trHeight w:val="425"/>
        </w:trPr>
        <w:tc>
          <w:tcPr>
            <w:tcW w:w="2263" w:type="dxa"/>
            <w:shd w:val="clear" w:color="auto" w:fill="DD4814"/>
            <w:vAlign w:val="center"/>
          </w:tcPr>
          <w:p w14:paraId="2DC914BA" w14:textId="77777777" w:rsidR="00834771" w:rsidRDefault="00834771" w:rsidP="005D52C8">
            <w:pPr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</w:pPr>
            <w:r w:rsidRPr="00485518">
              <w:rPr>
                <w:rFonts w:ascii="Arial" w:hAnsi="Arial" w:cs="Arial"/>
                <w:b/>
                <w:bCs/>
                <w:color w:val="0D0D0D" w:themeColor="text1" w:themeTint="F2"/>
                <w:sz w:val="26"/>
                <w:szCs w:val="26"/>
              </w:rPr>
              <w:t>Ressources</w:t>
            </w:r>
          </w:p>
        </w:tc>
        <w:tc>
          <w:tcPr>
            <w:tcW w:w="13188" w:type="dxa"/>
            <w:shd w:val="clear" w:color="auto" w:fill="FFE3E3"/>
          </w:tcPr>
          <w:p w14:paraId="56925BDC" w14:textId="77777777" w:rsidR="00834771" w:rsidRDefault="00834771" w:rsidP="005D52C8">
            <w:pPr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</w:pPr>
            <w:r w:rsidRPr="00CF0470">
              <w:rPr>
                <w:rFonts w:ascii="Arial" w:hAnsi="Arial" w:cs="Arial"/>
                <w:sz w:val="26"/>
                <w:szCs w:val="26"/>
              </w:rPr>
              <w:t>Ne pas avoir perçu de revenu d’activité professionnelle.</w:t>
            </w:r>
          </w:p>
        </w:tc>
      </w:tr>
      <w:tr w:rsidR="00834771" w14:paraId="7080B96B" w14:textId="77777777" w:rsidTr="009407C9">
        <w:trPr>
          <w:trHeight w:val="842"/>
        </w:trPr>
        <w:tc>
          <w:tcPr>
            <w:tcW w:w="2263" w:type="dxa"/>
            <w:shd w:val="clear" w:color="auto" w:fill="DD4814"/>
            <w:vAlign w:val="center"/>
          </w:tcPr>
          <w:p w14:paraId="33F2FEBE" w14:textId="77777777" w:rsidR="00834771" w:rsidRDefault="00834771" w:rsidP="005D52C8">
            <w:pPr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</w:pPr>
            <w:r w:rsidRPr="00485518">
              <w:rPr>
                <w:rFonts w:ascii="Arial" w:hAnsi="Arial" w:cs="Arial"/>
                <w:b/>
                <w:bCs/>
                <w:color w:val="0D0D0D" w:themeColor="text1" w:themeTint="F2"/>
                <w:sz w:val="26"/>
                <w:szCs w:val="26"/>
              </w:rPr>
              <w:t>Montant</w:t>
            </w:r>
          </w:p>
        </w:tc>
        <w:tc>
          <w:tcPr>
            <w:tcW w:w="13188" w:type="dxa"/>
          </w:tcPr>
          <w:p w14:paraId="7780D179" w14:textId="77777777" w:rsidR="00834771" w:rsidRPr="00CF0470" w:rsidRDefault="00834771" w:rsidP="005D52C8">
            <w:pPr>
              <w:rPr>
                <w:rFonts w:ascii="Arial" w:hAnsi="Arial" w:cs="Arial"/>
                <w:sz w:val="26"/>
                <w:szCs w:val="26"/>
              </w:rPr>
            </w:pPr>
            <w:r w:rsidRPr="00CF0470">
              <w:rPr>
                <w:rFonts w:ascii="Arial" w:hAnsi="Arial" w:cs="Arial"/>
                <w:sz w:val="26"/>
                <w:szCs w:val="26"/>
              </w:rPr>
              <w:t xml:space="preserve">La MVA est versée </w:t>
            </w:r>
            <w:r w:rsidRPr="00CF0470">
              <w:rPr>
                <w:rFonts w:ascii="Arial" w:hAnsi="Arial" w:cs="Arial"/>
                <w:b/>
                <w:bCs/>
                <w:sz w:val="26"/>
                <w:szCs w:val="26"/>
              </w:rPr>
              <w:t>automatiquement</w:t>
            </w:r>
            <w:r w:rsidRPr="00CF0470">
              <w:rPr>
                <w:rFonts w:ascii="Arial" w:hAnsi="Arial" w:cs="Arial"/>
                <w:sz w:val="26"/>
                <w:szCs w:val="26"/>
              </w:rPr>
              <w:t xml:space="preserve"> par la CAF dès lors que la personne en remplit les conditions.</w:t>
            </w:r>
          </w:p>
          <w:p w14:paraId="23F10605" w14:textId="77777777" w:rsidR="00834771" w:rsidRDefault="00834771" w:rsidP="005D52C8">
            <w:pPr>
              <w:rPr>
                <w:rFonts w:ascii="Arial" w:eastAsiaTheme="majorEastAsia" w:hAnsi="Arial" w:cs="Arial"/>
                <w:color w:val="000000" w:themeColor="text1"/>
                <w:sz w:val="28"/>
                <w:szCs w:val="28"/>
              </w:rPr>
            </w:pPr>
            <w:r w:rsidRPr="00CF0470">
              <w:rPr>
                <w:rFonts w:ascii="Arial" w:hAnsi="Arial" w:cs="Arial"/>
                <w:sz w:val="26"/>
                <w:szCs w:val="26"/>
              </w:rPr>
              <w:t>La MVA ne se cumule pas avec la GRPH.</w:t>
            </w:r>
          </w:p>
        </w:tc>
      </w:tr>
    </w:tbl>
    <w:p w14:paraId="482CDD55" w14:textId="77777777" w:rsidR="00834771" w:rsidRDefault="00834771"/>
    <w:p w14:paraId="2141DC0F" w14:textId="77777777" w:rsidR="004D5FF8" w:rsidRDefault="004D5FF8">
      <w:pPr>
        <w:rPr>
          <w:rFonts w:asciiTheme="majorHAnsi" w:eastAsiaTheme="majorEastAsia" w:hAnsiTheme="majorHAnsi" w:cstheme="majorBidi"/>
          <w:color w:val="0F4761" w:themeColor="accent1" w:themeShade="BF"/>
          <w:sz w:val="36"/>
          <w:szCs w:val="36"/>
        </w:rPr>
      </w:pPr>
      <w:r>
        <w:rPr>
          <w:sz w:val="36"/>
          <w:szCs w:val="36"/>
        </w:rPr>
        <w:br w:type="page"/>
      </w:r>
    </w:p>
    <w:p w14:paraId="43B01134" w14:textId="4D9CAFA6" w:rsidR="00834771" w:rsidRPr="0068796A" w:rsidRDefault="00834771" w:rsidP="0068796A">
      <w:pPr>
        <w:pStyle w:val="Titre1"/>
      </w:pPr>
      <w:r w:rsidRPr="0068796A">
        <w:lastRenderedPageBreak/>
        <w:drawing>
          <wp:anchor distT="0" distB="0" distL="114300" distR="114300" simplePos="0" relativeHeight="251671552" behindDoc="1" locked="0" layoutInCell="1" allowOverlap="1" wp14:anchorId="502D02BD" wp14:editId="2B7FB00C">
            <wp:simplePos x="0" y="0"/>
            <wp:positionH relativeFrom="margin">
              <wp:posOffset>7689658</wp:posOffset>
            </wp:positionH>
            <wp:positionV relativeFrom="paragraph">
              <wp:posOffset>0</wp:posOffset>
            </wp:positionV>
            <wp:extent cx="1285875" cy="807085"/>
            <wp:effectExtent l="0" t="0" r="9525" b="0"/>
            <wp:wrapSquare wrapText="bothSides"/>
            <wp:docPr id="96814866" name="Image 1" descr="Logo association Valentin Haüy avec les aveugles et les malvoyant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684520" name="Image 1" descr="Logo association Valentin Haüy avec les aveugles et les malvoyants 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796A">
        <w:t>Prestation de Compensation du Handicap</w:t>
      </w:r>
    </w:p>
    <w:p w14:paraId="26A5F6ED" w14:textId="77777777" w:rsidR="00C175D7" w:rsidRPr="00C175D7" w:rsidRDefault="00C175D7" w:rsidP="00C175D7"/>
    <w:p w14:paraId="5490C045" w14:textId="77777777" w:rsidR="00834771" w:rsidRDefault="00834771" w:rsidP="00834771">
      <w:pPr>
        <w:spacing w:before="40" w:after="40" w:line="240" w:lineRule="auto"/>
        <w:rPr>
          <w:rFonts w:ascii="Arial" w:eastAsia="MS PMincho" w:hAnsi="Arial" w:cs="Arial"/>
          <w:color w:val="000000"/>
          <w:kern w:val="0"/>
          <w:sz w:val="26"/>
          <w:szCs w:val="26"/>
          <w14:ligatures w14:val="none"/>
        </w:rPr>
      </w:pPr>
    </w:p>
    <w:tbl>
      <w:tblPr>
        <w:tblStyle w:val="Grilledutableau"/>
        <w:tblW w:w="14170" w:type="dxa"/>
        <w:tblLook w:val="04A0" w:firstRow="1" w:lastRow="0" w:firstColumn="1" w:lastColumn="0" w:noHBand="0" w:noVBand="1"/>
      </w:tblPr>
      <w:tblGrid>
        <w:gridCol w:w="1696"/>
        <w:gridCol w:w="12474"/>
      </w:tblGrid>
      <w:tr w:rsidR="00834771" w14:paraId="4D3090CF" w14:textId="77777777" w:rsidTr="00B91164">
        <w:trPr>
          <w:tblHeader/>
        </w:trPr>
        <w:tc>
          <w:tcPr>
            <w:tcW w:w="1696" w:type="dxa"/>
            <w:shd w:val="clear" w:color="auto" w:fill="7030A0"/>
            <w:vAlign w:val="center"/>
          </w:tcPr>
          <w:p w14:paraId="5755184A" w14:textId="7D724556" w:rsidR="00834771" w:rsidRDefault="00834771" w:rsidP="00834771">
            <w:r w:rsidRPr="00AE071C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Type</w:t>
            </w:r>
          </w:p>
        </w:tc>
        <w:tc>
          <w:tcPr>
            <w:tcW w:w="12474" w:type="dxa"/>
            <w:shd w:val="clear" w:color="auto" w:fill="7030A0"/>
            <w:vAlign w:val="center"/>
          </w:tcPr>
          <w:p w14:paraId="7691A9EB" w14:textId="23DAF918" w:rsidR="00834771" w:rsidRDefault="00834771" w:rsidP="00834771">
            <w:r w:rsidRPr="00AE071C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PCH (Prestation de Compensation du Handicap)</w:t>
            </w:r>
          </w:p>
        </w:tc>
      </w:tr>
      <w:tr w:rsidR="00834771" w14:paraId="1A5BC66C" w14:textId="77777777" w:rsidTr="007C223E">
        <w:trPr>
          <w:trHeight w:val="3108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5B303987" w14:textId="2292C325" w:rsidR="00834771" w:rsidRDefault="00834771" w:rsidP="00834771">
            <w:r w:rsidRPr="00AE071C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Condition d’âge</w:t>
            </w:r>
          </w:p>
        </w:tc>
        <w:tc>
          <w:tcPr>
            <w:tcW w:w="12474" w:type="dxa"/>
            <w:shd w:val="clear" w:color="auto" w:fill="FFE3E3"/>
            <w:vAlign w:val="center"/>
          </w:tcPr>
          <w:p w14:paraId="73552978" w14:textId="0548CA21" w:rsidR="00834771" w:rsidRPr="00AE071C" w:rsidRDefault="00834771" w:rsidP="00834771">
            <w:pPr>
              <w:rPr>
                <w:rFonts w:ascii="Arial" w:hAnsi="Arial" w:cs="Arial"/>
                <w:sz w:val="26"/>
                <w:szCs w:val="26"/>
              </w:rPr>
            </w:pPr>
            <w:r w:rsidRPr="00AE071C">
              <w:rPr>
                <w:rFonts w:ascii="Arial" w:hAnsi="Arial" w:cs="Arial"/>
                <w:sz w:val="26"/>
                <w:szCs w:val="26"/>
              </w:rPr>
              <w:t xml:space="preserve">Age auquel les personnes peuvent effectuer une demande de PCH auprès de la </w:t>
            </w:r>
            <w:r w:rsidR="0068796A" w:rsidRPr="00AE071C">
              <w:rPr>
                <w:rFonts w:ascii="Arial" w:hAnsi="Arial" w:cs="Arial"/>
                <w:sz w:val="26"/>
                <w:szCs w:val="26"/>
              </w:rPr>
              <w:t>MDPH :</w:t>
            </w:r>
          </w:p>
          <w:p w14:paraId="2524E84A" w14:textId="210B04A9" w:rsidR="00834771" w:rsidRPr="004D5FF8" w:rsidRDefault="00834771" w:rsidP="004D5FF8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6"/>
                <w:szCs w:val="26"/>
              </w:rPr>
            </w:pPr>
            <w:r w:rsidRPr="004D5FF8">
              <w:rPr>
                <w:rFonts w:ascii="Arial" w:hAnsi="Arial" w:cs="Arial"/>
                <w:sz w:val="26"/>
                <w:szCs w:val="26"/>
              </w:rPr>
              <w:t xml:space="preserve">Personnes âgées de – de 20 ans bénéficiaires de l’AEEH. </w:t>
            </w:r>
          </w:p>
          <w:p w14:paraId="13F036ED" w14:textId="5E0EBF65" w:rsidR="00834771" w:rsidRPr="004D5FF8" w:rsidRDefault="00834771" w:rsidP="004D5FF8">
            <w:pPr>
              <w:pStyle w:val="Paragraphedeliste"/>
              <w:numPr>
                <w:ilvl w:val="0"/>
                <w:numId w:val="6"/>
              </w:numPr>
              <w:rPr>
                <w:rFonts w:ascii="Arial" w:hAnsi="Arial" w:cs="Arial"/>
                <w:sz w:val="26"/>
                <w:szCs w:val="26"/>
              </w:rPr>
            </w:pPr>
            <w:r w:rsidRPr="004D5FF8">
              <w:rPr>
                <w:rFonts w:ascii="Arial" w:hAnsi="Arial" w:cs="Arial"/>
                <w:sz w:val="26"/>
                <w:szCs w:val="26"/>
              </w:rPr>
              <w:t xml:space="preserve">À partir de 20 ans jusqu’à 60 ans. Quand le handicap survient après l’âge de 60 ans, les personnes relèvent de l’APA. </w:t>
            </w:r>
          </w:p>
          <w:p w14:paraId="0177E5FD" w14:textId="77777777" w:rsidR="00834771" w:rsidRPr="00AE071C" w:rsidRDefault="00834771" w:rsidP="00834771">
            <w:pPr>
              <w:rPr>
                <w:rFonts w:ascii="Arial" w:hAnsi="Arial" w:cs="Arial"/>
                <w:sz w:val="26"/>
                <w:szCs w:val="26"/>
              </w:rPr>
            </w:pPr>
            <w:r w:rsidRPr="00AE071C">
              <w:rPr>
                <w:rFonts w:ascii="Arial" w:hAnsi="Arial" w:cs="Arial"/>
                <w:b/>
                <w:bCs/>
                <w:sz w:val="26"/>
                <w:szCs w:val="26"/>
              </w:rPr>
              <w:t>ATTENTION les personnes qui remplissaient les conditions d’éligibilité à la PCH avant 60 ans ou exerçant encore une activité professionnelle après 60 ans, peuvent demander la PCH</w:t>
            </w:r>
            <w:r w:rsidRPr="00AE071C">
              <w:rPr>
                <w:rFonts w:ascii="Arial" w:hAnsi="Arial" w:cs="Arial"/>
                <w:sz w:val="26"/>
                <w:szCs w:val="26"/>
              </w:rPr>
              <w:t xml:space="preserve">. </w:t>
            </w:r>
          </w:p>
          <w:p w14:paraId="641BD232" w14:textId="6FBEBDC0" w:rsidR="00834771" w:rsidRDefault="00834771" w:rsidP="00834771">
            <w:r w:rsidRPr="00AE071C">
              <w:rPr>
                <w:rFonts w:ascii="Arial" w:hAnsi="Arial" w:cs="Arial"/>
                <w:sz w:val="26"/>
                <w:szCs w:val="26"/>
              </w:rPr>
              <w:t>Les bénéficiaires de la PCH continuent à la percevoir sans limite d’âge tant qu’ils en remplissent les conditions.</w:t>
            </w:r>
          </w:p>
        </w:tc>
      </w:tr>
      <w:tr w:rsidR="00834771" w14:paraId="463B702A" w14:textId="77777777" w:rsidTr="007C223E">
        <w:trPr>
          <w:trHeight w:val="1395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4DD7D32F" w14:textId="03825A5A" w:rsidR="00834771" w:rsidRDefault="00834771" w:rsidP="00834771">
            <w:r w:rsidRPr="00AE071C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Résidence</w:t>
            </w:r>
          </w:p>
        </w:tc>
        <w:tc>
          <w:tcPr>
            <w:tcW w:w="12474" w:type="dxa"/>
            <w:shd w:val="clear" w:color="auto" w:fill="FFFFFF" w:themeFill="background1"/>
            <w:vAlign w:val="center"/>
          </w:tcPr>
          <w:p w14:paraId="3AD0E76B" w14:textId="48E2DB58" w:rsidR="00834771" w:rsidRPr="00AE071C" w:rsidRDefault="00834771" w:rsidP="00834771">
            <w:pPr>
              <w:rPr>
                <w:rFonts w:ascii="Arial" w:hAnsi="Arial" w:cs="Arial"/>
                <w:sz w:val="26"/>
                <w:szCs w:val="26"/>
              </w:rPr>
            </w:pPr>
            <w:r w:rsidRPr="00AE071C">
              <w:rPr>
                <w:rFonts w:ascii="Arial" w:hAnsi="Arial" w:cs="Arial"/>
                <w:sz w:val="26"/>
                <w:szCs w:val="26"/>
              </w:rPr>
              <w:t xml:space="preserve">Résider de façon stable et régulière </w:t>
            </w:r>
            <w:r w:rsidR="00127B7E">
              <w:rPr>
                <w:rStyle w:val="Appelnotedebasdep"/>
                <w:rFonts w:ascii="Arial" w:hAnsi="Arial" w:cs="Arial"/>
                <w:sz w:val="26"/>
                <w:szCs w:val="26"/>
              </w:rPr>
              <w:footnoteReference w:id="2"/>
            </w:r>
            <w:r w:rsidRPr="00AE071C">
              <w:rPr>
                <w:rFonts w:ascii="Arial" w:hAnsi="Arial" w:cs="Arial"/>
                <w:sz w:val="26"/>
                <w:szCs w:val="26"/>
              </w:rPr>
              <w:t xml:space="preserve"> en France, dans les </w:t>
            </w:r>
            <w:r w:rsidRPr="00AE071C">
              <w:rPr>
                <w:rFonts w:ascii="Arial" w:hAnsi="Arial" w:cs="Arial"/>
                <w:b/>
                <w:bCs/>
                <w:sz w:val="26"/>
                <w:szCs w:val="26"/>
              </w:rPr>
              <w:t>DROM-COM</w:t>
            </w:r>
            <w:r w:rsidRPr="00AE071C">
              <w:rPr>
                <w:rFonts w:ascii="Arial" w:hAnsi="Arial" w:cs="Arial"/>
                <w:sz w:val="26"/>
                <w:szCs w:val="26"/>
              </w:rPr>
              <w:t xml:space="preserve">, ou à </w:t>
            </w:r>
            <w:r w:rsidR="00C058BC" w:rsidRPr="00CF0470">
              <w:rPr>
                <w:rFonts w:ascii="Arial" w:hAnsi="Arial" w:cs="Arial"/>
                <w:sz w:val="26"/>
                <w:szCs w:val="26"/>
              </w:rPr>
              <w:t>S</w:t>
            </w:r>
            <w:r w:rsidR="00C058BC">
              <w:rPr>
                <w:rFonts w:ascii="Arial" w:hAnsi="Arial" w:cs="Arial"/>
                <w:sz w:val="26"/>
                <w:szCs w:val="26"/>
              </w:rPr>
              <w:t>aint-</w:t>
            </w:r>
            <w:r w:rsidR="00C058BC" w:rsidRPr="00CF0470">
              <w:rPr>
                <w:rFonts w:ascii="Arial" w:hAnsi="Arial" w:cs="Arial"/>
                <w:sz w:val="26"/>
                <w:szCs w:val="26"/>
              </w:rPr>
              <w:t>Pierre</w:t>
            </w:r>
            <w:r w:rsidR="00C058BC">
              <w:rPr>
                <w:rFonts w:ascii="Arial" w:hAnsi="Arial" w:cs="Arial"/>
                <w:sz w:val="26"/>
                <w:szCs w:val="26"/>
              </w:rPr>
              <w:t>-</w:t>
            </w:r>
            <w:r w:rsidR="00C058BC" w:rsidRPr="00CF0470">
              <w:rPr>
                <w:rFonts w:ascii="Arial" w:hAnsi="Arial" w:cs="Arial"/>
                <w:sz w:val="26"/>
                <w:szCs w:val="26"/>
              </w:rPr>
              <w:t>et</w:t>
            </w:r>
            <w:r w:rsidR="00C058BC">
              <w:rPr>
                <w:rFonts w:ascii="Arial" w:hAnsi="Arial" w:cs="Arial"/>
                <w:sz w:val="26"/>
                <w:szCs w:val="26"/>
              </w:rPr>
              <w:t>-</w:t>
            </w:r>
            <w:r w:rsidR="00C058BC" w:rsidRPr="00CF0470">
              <w:rPr>
                <w:rFonts w:ascii="Arial" w:hAnsi="Arial" w:cs="Arial"/>
                <w:sz w:val="26"/>
                <w:szCs w:val="26"/>
              </w:rPr>
              <w:t>Miquelon</w:t>
            </w:r>
            <w:r w:rsidRPr="00AE071C">
              <w:rPr>
                <w:rFonts w:ascii="Arial" w:hAnsi="Arial" w:cs="Arial"/>
                <w:sz w:val="26"/>
                <w:szCs w:val="26"/>
              </w:rPr>
              <w:t>.</w:t>
            </w:r>
          </w:p>
          <w:p w14:paraId="7B4ABA9A" w14:textId="77777777" w:rsidR="00834771" w:rsidRPr="00AE071C" w:rsidRDefault="00834771" w:rsidP="00834771">
            <w:pPr>
              <w:rPr>
                <w:rFonts w:ascii="Arial" w:hAnsi="Arial" w:cs="Arial"/>
                <w:sz w:val="26"/>
                <w:szCs w:val="26"/>
              </w:rPr>
            </w:pPr>
            <w:r w:rsidRPr="00AE071C">
              <w:rPr>
                <w:rFonts w:ascii="Arial" w:hAnsi="Arial" w:cs="Arial"/>
                <w:sz w:val="26"/>
                <w:szCs w:val="26"/>
              </w:rPr>
              <w:t>Si de nationalité étrangère :</w:t>
            </w:r>
          </w:p>
          <w:p w14:paraId="7CE591C4" w14:textId="77777777" w:rsidR="00834771" w:rsidRPr="00AE071C" w:rsidRDefault="00834771" w:rsidP="00834771">
            <w:pPr>
              <w:rPr>
                <w:rFonts w:ascii="Arial" w:hAnsi="Arial" w:cs="Arial"/>
                <w:sz w:val="26"/>
                <w:szCs w:val="26"/>
              </w:rPr>
            </w:pPr>
            <w:r w:rsidRPr="00AE071C">
              <w:rPr>
                <w:rFonts w:ascii="Arial" w:hAnsi="Arial" w:cs="Arial"/>
                <w:sz w:val="26"/>
                <w:szCs w:val="26"/>
              </w:rPr>
              <w:t>Document justifiant de la régularité du séjour.</w:t>
            </w:r>
          </w:p>
          <w:p w14:paraId="0E15F4BB" w14:textId="77777777" w:rsidR="00834771" w:rsidRPr="00AE071C" w:rsidRDefault="00834771" w:rsidP="00834771">
            <w:pPr>
              <w:rPr>
                <w:rFonts w:ascii="Arial" w:hAnsi="Arial" w:cs="Arial"/>
                <w:sz w:val="26"/>
                <w:szCs w:val="26"/>
              </w:rPr>
            </w:pPr>
            <w:r w:rsidRPr="00AE071C">
              <w:rPr>
                <w:rFonts w:ascii="Arial" w:hAnsi="Arial" w:cs="Arial"/>
                <w:sz w:val="26"/>
                <w:szCs w:val="26"/>
              </w:rPr>
              <w:t>Si sans domicile stable :</w:t>
            </w:r>
          </w:p>
          <w:p w14:paraId="7B5A6C64" w14:textId="77777777" w:rsidR="00834771" w:rsidRPr="00AE071C" w:rsidRDefault="00834771" w:rsidP="00834771">
            <w:pPr>
              <w:rPr>
                <w:rFonts w:ascii="Arial" w:hAnsi="Arial" w:cs="Arial"/>
                <w:sz w:val="26"/>
                <w:szCs w:val="26"/>
              </w:rPr>
            </w:pPr>
            <w:hyperlink r:id="rId9" w:tgtFrame="_blank" w:history="1">
              <w:r w:rsidRPr="00AE071C">
                <w:rPr>
                  <w:rStyle w:val="Lienhypertexte"/>
                  <w:rFonts w:ascii="Arial" w:hAnsi="Arial" w:cs="Arial"/>
                  <w:sz w:val="26"/>
                  <w:szCs w:val="26"/>
                </w:rPr>
                <w:t>Une démarche de domiciliation</w:t>
              </w:r>
            </w:hyperlink>
            <w:r w:rsidRPr="00AE071C">
              <w:rPr>
                <w:rFonts w:ascii="Arial" w:hAnsi="Arial" w:cs="Arial"/>
                <w:sz w:val="26"/>
                <w:szCs w:val="26"/>
              </w:rPr>
              <w:t xml:space="preserve"> est indispensable pour percevoir la PCH.</w:t>
            </w:r>
          </w:p>
          <w:p w14:paraId="6BCD8385" w14:textId="77777777" w:rsidR="00834771" w:rsidRDefault="00834771" w:rsidP="00834771"/>
        </w:tc>
      </w:tr>
      <w:tr w:rsidR="00834771" w14:paraId="2EDD4958" w14:textId="77777777" w:rsidTr="007C223E">
        <w:trPr>
          <w:trHeight w:val="2072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7030A0"/>
            <w:vAlign w:val="center"/>
          </w:tcPr>
          <w:p w14:paraId="714AD5FE" w14:textId="432AE384" w:rsidR="00834771" w:rsidRDefault="00834771" w:rsidP="00834771">
            <w:r w:rsidRPr="00AE071C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Incapacité</w:t>
            </w:r>
          </w:p>
        </w:tc>
        <w:tc>
          <w:tcPr>
            <w:tcW w:w="12474" w:type="dxa"/>
            <w:shd w:val="clear" w:color="auto" w:fill="FFE3E3"/>
            <w:vAlign w:val="center"/>
          </w:tcPr>
          <w:p w14:paraId="5F672754" w14:textId="3E4E4266" w:rsidR="00834771" w:rsidRPr="00166A06" w:rsidRDefault="00834771" w:rsidP="00834771">
            <w:pPr>
              <w:rPr>
                <w:rFonts w:ascii="Arial" w:hAnsi="Arial" w:cs="Arial"/>
                <w:sz w:val="26"/>
                <w:szCs w:val="26"/>
              </w:rPr>
            </w:pPr>
            <w:r w:rsidRPr="00166A06">
              <w:rPr>
                <w:rFonts w:ascii="Arial" w:hAnsi="Arial" w:cs="Arial"/>
                <w:b/>
                <w:bCs/>
                <w:sz w:val="26"/>
                <w:szCs w:val="26"/>
              </w:rPr>
              <w:t>Présenter une difficulté absolue ou deux difficultés graves à la réalisation d’une activité essentielle de la vie quotidienne</w:t>
            </w:r>
            <w:r w:rsidRPr="00AE071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="00127B7E">
              <w:rPr>
                <w:rStyle w:val="Appelnotedebasdep"/>
                <w:rFonts w:ascii="Arial" w:hAnsi="Arial" w:cs="Arial"/>
                <w:b/>
                <w:bCs/>
                <w:sz w:val="26"/>
                <w:szCs w:val="26"/>
              </w:rPr>
              <w:footnoteReference w:id="3"/>
            </w:r>
            <w:r w:rsidRPr="00166A06">
              <w:rPr>
                <w:rFonts w:ascii="Arial" w:hAnsi="Arial" w:cs="Arial"/>
                <w:sz w:val="26"/>
                <w:szCs w:val="26"/>
              </w:rPr>
              <w:t xml:space="preserve">. </w:t>
            </w:r>
          </w:p>
          <w:p w14:paraId="135C9C55" w14:textId="77777777" w:rsidR="00834771" w:rsidRDefault="00834771" w:rsidP="00834771">
            <w:pPr>
              <w:rPr>
                <w:rFonts w:ascii="Arial" w:hAnsi="Arial" w:cs="Arial"/>
                <w:sz w:val="26"/>
                <w:szCs w:val="26"/>
              </w:rPr>
            </w:pPr>
            <w:r w:rsidRPr="00166A06">
              <w:rPr>
                <w:rFonts w:ascii="Arial" w:hAnsi="Arial" w:cs="Arial"/>
                <w:sz w:val="26"/>
                <w:szCs w:val="26"/>
              </w:rPr>
              <w:t>Ces difficultés doivent être définitives ou d’une durée prévisible d’au moins un an.</w:t>
            </w:r>
          </w:p>
          <w:p w14:paraId="77F93F41" w14:textId="77777777" w:rsidR="007C223E" w:rsidRPr="00166A06" w:rsidRDefault="007C223E" w:rsidP="00834771">
            <w:pPr>
              <w:rPr>
                <w:rFonts w:ascii="Arial" w:hAnsi="Arial" w:cs="Arial"/>
                <w:sz w:val="26"/>
                <w:szCs w:val="26"/>
              </w:rPr>
            </w:pPr>
          </w:p>
          <w:p w14:paraId="5F007033" w14:textId="77777777" w:rsidR="00834771" w:rsidRDefault="00834771" w:rsidP="00834771"/>
        </w:tc>
      </w:tr>
      <w:tr w:rsidR="00834771" w14:paraId="4F835C82" w14:textId="77777777" w:rsidTr="006D75C1">
        <w:tc>
          <w:tcPr>
            <w:tcW w:w="1696" w:type="dxa"/>
            <w:shd w:val="clear" w:color="auto" w:fill="7030A0"/>
            <w:vAlign w:val="center"/>
          </w:tcPr>
          <w:p w14:paraId="7A536F42" w14:textId="68204BDA" w:rsidR="00834771" w:rsidRDefault="00834771" w:rsidP="00834771">
            <w:r w:rsidRPr="00CF0470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lastRenderedPageBreak/>
              <w:t>Ressource</w:t>
            </w:r>
            <w:r w:rsidR="007C223E" w:rsidRPr="007C223E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s</w:t>
            </w:r>
          </w:p>
        </w:tc>
        <w:tc>
          <w:tcPr>
            <w:tcW w:w="12474" w:type="dxa"/>
            <w:shd w:val="clear" w:color="auto" w:fill="FFFFFF" w:themeFill="background1"/>
            <w:vAlign w:val="center"/>
          </w:tcPr>
          <w:p w14:paraId="5FB417BA" w14:textId="77777777" w:rsidR="00834771" w:rsidRPr="003B1283" w:rsidRDefault="00834771" w:rsidP="00834771">
            <w:pPr>
              <w:rPr>
                <w:rFonts w:ascii="Arial" w:hAnsi="Arial" w:cs="Arial"/>
                <w:sz w:val="24"/>
                <w:szCs w:val="24"/>
              </w:rPr>
            </w:pPr>
            <w:r w:rsidRPr="003B1283">
              <w:rPr>
                <w:rFonts w:ascii="Arial" w:hAnsi="Arial" w:cs="Arial"/>
                <w:sz w:val="24"/>
                <w:szCs w:val="24"/>
              </w:rPr>
              <w:t>Seuls sont pris en compte</w:t>
            </w:r>
            <w:r w:rsidRPr="003B12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les revenus des valeurs et capitaux mobiliers, les plus-values et gains divers et les revenus fonciers du foyer fiscal </w:t>
            </w:r>
            <w:r w:rsidRPr="003B1283">
              <w:rPr>
                <w:rFonts w:ascii="Arial" w:hAnsi="Arial" w:cs="Arial"/>
                <w:sz w:val="24"/>
                <w:szCs w:val="24"/>
              </w:rPr>
              <w:t>tels que reportés sur l’avis d’imposition.</w:t>
            </w:r>
          </w:p>
          <w:p w14:paraId="1AFF1F20" w14:textId="46BD45FB" w:rsidR="00834771" w:rsidRPr="00C058BC" w:rsidRDefault="00834771" w:rsidP="00C058BC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058BC">
              <w:rPr>
                <w:rFonts w:ascii="Arial" w:hAnsi="Arial" w:cs="Arial"/>
                <w:sz w:val="24"/>
                <w:szCs w:val="24"/>
              </w:rPr>
              <w:t>si</w:t>
            </w:r>
            <w:proofErr w:type="gramEnd"/>
            <w:r w:rsidRPr="00C058BC">
              <w:rPr>
                <w:rFonts w:ascii="Arial" w:hAnsi="Arial" w:cs="Arial"/>
                <w:sz w:val="24"/>
                <w:szCs w:val="24"/>
              </w:rPr>
              <w:t xml:space="preserve"> les ressources mensuelles précitées, sont supérieures à 2 fois le montant mensuel de la MTP, le montant de PCH versé sera réduit de 20%.</w:t>
            </w:r>
          </w:p>
          <w:p w14:paraId="4859DF53" w14:textId="6632773D" w:rsidR="00834771" w:rsidRPr="00C058BC" w:rsidRDefault="00834771" w:rsidP="00C058BC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058BC">
              <w:rPr>
                <w:rFonts w:ascii="Arial" w:hAnsi="Arial" w:cs="Arial"/>
                <w:sz w:val="24"/>
                <w:szCs w:val="24"/>
              </w:rPr>
              <w:t>si</w:t>
            </w:r>
            <w:proofErr w:type="gramEnd"/>
            <w:r w:rsidRPr="00C058BC">
              <w:rPr>
                <w:rFonts w:ascii="Arial" w:hAnsi="Arial" w:cs="Arial"/>
                <w:sz w:val="24"/>
                <w:szCs w:val="24"/>
              </w:rPr>
              <w:t xml:space="preserve"> les ressources mensuelles précitées, sont inférieures ou égales à 2 fois le montant mensuel de la MTP, le montant de la PCH est versé à taux plein.</w:t>
            </w:r>
          </w:p>
          <w:p w14:paraId="6DE04351" w14:textId="77777777" w:rsidR="00834771" w:rsidRDefault="00834771" w:rsidP="00834771"/>
        </w:tc>
      </w:tr>
      <w:tr w:rsidR="00834771" w14:paraId="7AAFE11F" w14:textId="77777777" w:rsidTr="007C223E">
        <w:tc>
          <w:tcPr>
            <w:tcW w:w="1696" w:type="dxa"/>
            <w:shd w:val="clear" w:color="auto" w:fill="7030A0"/>
            <w:vAlign w:val="center"/>
          </w:tcPr>
          <w:p w14:paraId="7D80B838" w14:textId="3AD93EAE" w:rsidR="00834771" w:rsidRDefault="00834771" w:rsidP="00834771">
            <w:r w:rsidRPr="00CF0470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Montant</w:t>
            </w:r>
          </w:p>
        </w:tc>
        <w:tc>
          <w:tcPr>
            <w:tcW w:w="12474" w:type="dxa"/>
            <w:shd w:val="clear" w:color="auto" w:fill="FFE3E3"/>
            <w:vAlign w:val="center"/>
          </w:tcPr>
          <w:p w14:paraId="3B4676A6" w14:textId="77777777" w:rsidR="00834771" w:rsidRPr="00CC3E36" w:rsidRDefault="00834771" w:rsidP="001305A8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CC3E36">
              <w:rPr>
                <w:rFonts w:ascii="Arial" w:hAnsi="Arial" w:cs="Arial"/>
                <w:b/>
                <w:bCs/>
                <w:sz w:val="24"/>
                <w:szCs w:val="24"/>
              </w:rPr>
              <w:t>En principe la perception des différentes aides doit être justifiée auprès du Conseil départemental, sauf pour les aides versées sous forme de forfait.</w:t>
            </w:r>
          </w:p>
          <w:p w14:paraId="19428531" w14:textId="77777777" w:rsidR="00834771" w:rsidRPr="00CC3E36" w:rsidRDefault="00834771" w:rsidP="001305A8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CC3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1.Aide humaine </w:t>
            </w:r>
            <w:r w:rsidRPr="00CC3E3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7FC55D6" w14:textId="77777777" w:rsidR="00834771" w:rsidRPr="00CC3E36" w:rsidRDefault="00834771" w:rsidP="001305A8">
            <w:pPr>
              <w:keepNext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68796A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Pr="00CC3E36">
              <w:rPr>
                <w:rFonts w:ascii="Arial" w:hAnsi="Arial" w:cs="Arial"/>
                <w:b/>
                <w:bCs/>
                <w:sz w:val="24"/>
                <w:szCs w:val="24"/>
              </w:rPr>
              <w:t>orfait cécité</w:t>
            </w:r>
            <w:r w:rsidRPr="00CC3E36">
              <w:rPr>
                <w:rFonts w:ascii="Arial" w:hAnsi="Arial" w:cs="Arial"/>
                <w:sz w:val="24"/>
                <w:szCs w:val="24"/>
              </w:rPr>
              <w:t xml:space="preserve"> : pour les personnes dont l’acuité visuelle est inférieure à </w:t>
            </w:r>
            <w:r w:rsidRPr="00CC3E36">
              <w:rPr>
                <w:rFonts w:ascii="Arial" w:hAnsi="Arial" w:cs="Arial"/>
                <w:b/>
                <w:bCs/>
                <w:sz w:val="24"/>
                <w:szCs w:val="24"/>
              </w:rPr>
              <w:t>1/20ème</w:t>
            </w:r>
            <w:r w:rsidRPr="00CC3E36">
              <w:rPr>
                <w:rFonts w:ascii="Arial" w:hAnsi="Arial" w:cs="Arial"/>
                <w:sz w:val="24"/>
                <w:szCs w:val="24"/>
              </w:rPr>
              <w:t>, après correction au meilleur œil, équivalent à 50 h d’aide humaine de gré à gré par mois.</w:t>
            </w:r>
          </w:p>
          <w:p w14:paraId="1675AC97" w14:textId="77777777" w:rsidR="00834771" w:rsidRPr="00CC3E36" w:rsidRDefault="00834771" w:rsidP="001305A8">
            <w:pPr>
              <w:keepNext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C3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Forfait </w:t>
            </w:r>
            <w:proofErr w:type="spellStart"/>
            <w:r w:rsidRPr="00CC3E36">
              <w:rPr>
                <w:rFonts w:ascii="Arial" w:hAnsi="Arial" w:cs="Arial"/>
                <w:b/>
                <w:bCs/>
                <w:sz w:val="24"/>
                <w:szCs w:val="24"/>
              </w:rPr>
              <w:t>surdicécité</w:t>
            </w:r>
            <w:proofErr w:type="spellEnd"/>
            <w:r w:rsidRPr="00CC3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:</w:t>
            </w:r>
            <w:r w:rsidRPr="00CC3E36">
              <w:rPr>
                <w:rFonts w:ascii="Arial" w:hAnsi="Arial" w:cs="Arial"/>
                <w:sz w:val="24"/>
                <w:szCs w:val="24"/>
              </w:rPr>
              <w:t xml:space="preserve"> suivant le degré de perte visuelle et auditive, 3 forfaits allant de 30h à 80h d’aide humaine peuvent être attribués (</w:t>
            </w:r>
            <w:proofErr w:type="spellStart"/>
            <w:r w:rsidRPr="00CC3E36">
              <w:rPr>
                <w:rFonts w:ascii="Arial" w:hAnsi="Arial" w:cs="Arial"/>
                <w:sz w:val="24"/>
                <w:szCs w:val="24"/>
              </w:rPr>
              <w:t>cf</w:t>
            </w:r>
            <w:proofErr w:type="spellEnd"/>
            <w:r w:rsidRPr="00CC3E36">
              <w:rPr>
                <w:rFonts w:ascii="Arial" w:hAnsi="Arial" w:cs="Arial"/>
                <w:sz w:val="24"/>
                <w:szCs w:val="24"/>
              </w:rPr>
              <w:t xml:space="preserve"> tableau montants forfait </w:t>
            </w:r>
            <w:proofErr w:type="spellStart"/>
            <w:r w:rsidRPr="00CC3E36">
              <w:rPr>
                <w:rFonts w:ascii="Arial" w:hAnsi="Arial" w:cs="Arial"/>
                <w:sz w:val="24"/>
                <w:szCs w:val="24"/>
              </w:rPr>
              <w:t>surdicécité</w:t>
            </w:r>
            <w:proofErr w:type="spellEnd"/>
            <w:r w:rsidRPr="00CC3E36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3B6AD906" w14:textId="77777777" w:rsidR="00834771" w:rsidRPr="00CC3E36" w:rsidRDefault="00834771" w:rsidP="00834771">
            <w:pPr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C3E36">
              <w:rPr>
                <w:rFonts w:ascii="Arial" w:hAnsi="Arial" w:cs="Arial"/>
                <w:b/>
                <w:bCs/>
                <w:sz w:val="24"/>
                <w:szCs w:val="24"/>
              </w:rPr>
              <w:t>Aide à la parentalité</w:t>
            </w:r>
            <w:r w:rsidRPr="00CC3E36">
              <w:rPr>
                <w:rFonts w:ascii="Arial" w:hAnsi="Arial" w:cs="Arial"/>
                <w:sz w:val="24"/>
                <w:szCs w:val="24"/>
              </w:rPr>
              <w:t xml:space="preserve"> : pour le bénéficiaire parent d’un enfant âgé de 0 à 7 ans, versée sous forme d’aide humaine et/ou technique (</w:t>
            </w:r>
            <w:proofErr w:type="spellStart"/>
            <w:r w:rsidRPr="00CC3E36">
              <w:rPr>
                <w:rFonts w:ascii="Arial" w:hAnsi="Arial" w:cs="Arial"/>
                <w:sz w:val="24"/>
                <w:szCs w:val="24"/>
              </w:rPr>
              <w:t>cf</w:t>
            </w:r>
            <w:proofErr w:type="spellEnd"/>
            <w:r w:rsidRPr="00CC3E36">
              <w:rPr>
                <w:rFonts w:ascii="Arial" w:hAnsi="Arial" w:cs="Arial"/>
                <w:sz w:val="24"/>
                <w:szCs w:val="24"/>
              </w:rPr>
              <w:t xml:space="preserve"> fiche PCH).</w:t>
            </w:r>
          </w:p>
          <w:p w14:paraId="0D148F8D" w14:textId="77777777" w:rsidR="00834771" w:rsidRPr="00CC3E36" w:rsidRDefault="00834771" w:rsidP="00834771">
            <w:pPr>
              <w:rPr>
                <w:rFonts w:ascii="Arial" w:hAnsi="Arial" w:cs="Arial"/>
                <w:sz w:val="24"/>
                <w:szCs w:val="24"/>
              </w:rPr>
            </w:pPr>
            <w:r w:rsidRPr="00CC3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 Aide technique </w:t>
            </w:r>
          </w:p>
          <w:p w14:paraId="68D3DBED" w14:textId="77777777" w:rsidR="00834771" w:rsidRPr="00CC3E36" w:rsidRDefault="00834771" w:rsidP="00834771">
            <w:pPr>
              <w:rPr>
                <w:rFonts w:ascii="Arial" w:hAnsi="Arial" w:cs="Arial"/>
                <w:sz w:val="24"/>
                <w:szCs w:val="24"/>
              </w:rPr>
            </w:pPr>
            <w:r w:rsidRPr="00CC3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 Forfait d’aide animalière : </w:t>
            </w:r>
            <w:r w:rsidRPr="00CC3E36">
              <w:rPr>
                <w:rFonts w:ascii="Arial" w:hAnsi="Arial" w:cs="Arial"/>
                <w:sz w:val="24"/>
                <w:szCs w:val="24"/>
              </w:rPr>
              <w:t>versé pour les personnes ayant un chien guide.</w:t>
            </w:r>
          </w:p>
          <w:p w14:paraId="22A90CC9" w14:textId="77777777" w:rsidR="00834771" w:rsidRPr="00CC3E36" w:rsidRDefault="00834771" w:rsidP="00834771">
            <w:pPr>
              <w:rPr>
                <w:rFonts w:ascii="Arial" w:hAnsi="Arial" w:cs="Arial"/>
                <w:sz w:val="24"/>
                <w:szCs w:val="24"/>
              </w:rPr>
            </w:pPr>
            <w:r w:rsidRPr="00CC3E36">
              <w:rPr>
                <w:rFonts w:ascii="Arial" w:hAnsi="Arial" w:cs="Arial"/>
                <w:b/>
                <w:bCs/>
                <w:sz w:val="24"/>
                <w:szCs w:val="24"/>
              </w:rPr>
              <w:t>4. Charges spécifiques exceptionnelles</w:t>
            </w:r>
          </w:p>
          <w:p w14:paraId="4A5C2DE5" w14:textId="77777777" w:rsidR="00834771" w:rsidRPr="00CC3E36" w:rsidRDefault="00834771" w:rsidP="00834771">
            <w:pPr>
              <w:rPr>
                <w:rFonts w:ascii="Arial" w:hAnsi="Arial" w:cs="Arial"/>
                <w:sz w:val="24"/>
                <w:szCs w:val="24"/>
              </w:rPr>
            </w:pPr>
            <w:r w:rsidRPr="00CC3E36">
              <w:rPr>
                <w:rFonts w:ascii="Arial" w:hAnsi="Arial" w:cs="Arial"/>
                <w:b/>
                <w:bCs/>
                <w:sz w:val="24"/>
                <w:szCs w:val="24"/>
              </w:rPr>
              <w:t>5. Aménagement logement</w:t>
            </w:r>
          </w:p>
          <w:p w14:paraId="4D5990D8" w14:textId="77777777" w:rsidR="00834771" w:rsidRPr="00CC3E36" w:rsidRDefault="00834771" w:rsidP="00834771">
            <w:pPr>
              <w:rPr>
                <w:rFonts w:ascii="Arial" w:hAnsi="Arial" w:cs="Arial"/>
                <w:sz w:val="24"/>
                <w:szCs w:val="24"/>
              </w:rPr>
            </w:pPr>
            <w:r w:rsidRPr="00CC3E36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  <w:r w:rsidRPr="00CC3E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3E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Surcoûts transports </w:t>
            </w:r>
            <w:r w:rsidRPr="00CC3E36">
              <w:rPr>
                <w:rFonts w:ascii="Arial" w:hAnsi="Arial" w:cs="Arial"/>
                <w:sz w:val="24"/>
                <w:szCs w:val="24"/>
              </w:rPr>
              <w:t>(taxi et transports adaptés)</w:t>
            </w:r>
          </w:p>
          <w:p w14:paraId="4E284A1C" w14:textId="77777777" w:rsidR="00834771" w:rsidRDefault="00834771" w:rsidP="00834771"/>
        </w:tc>
      </w:tr>
    </w:tbl>
    <w:p w14:paraId="2BC77064" w14:textId="34B47AAE" w:rsidR="006D75C1" w:rsidRDefault="006D75C1"/>
    <w:p w14:paraId="0AD345F2" w14:textId="77777777" w:rsidR="006D75C1" w:rsidRDefault="006D75C1">
      <w:r>
        <w:br w:type="page"/>
      </w:r>
    </w:p>
    <w:p w14:paraId="2426223F" w14:textId="0F0B6367" w:rsidR="006D75C1" w:rsidRDefault="006D75C1" w:rsidP="0068796A">
      <w:pPr>
        <w:pStyle w:val="Titre1"/>
      </w:pPr>
      <w:r w:rsidRPr="0068796A">
        <w:lastRenderedPageBreak/>
        <w:drawing>
          <wp:anchor distT="0" distB="0" distL="114300" distR="114300" simplePos="0" relativeHeight="251673600" behindDoc="1" locked="0" layoutInCell="1" allowOverlap="1" wp14:anchorId="19646273" wp14:editId="3B219671">
            <wp:simplePos x="0" y="0"/>
            <wp:positionH relativeFrom="margin">
              <wp:posOffset>8025621</wp:posOffset>
            </wp:positionH>
            <wp:positionV relativeFrom="paragraph">
              <wp:posOffset>96</wp:posOffset>
            </wp:positionV>
            <wp:extent cx="1314450" cy="824865"/>
            <wp:effectExtent l="0" t="0" r="0" b="0"/>
            <wp:wrapSquare wrapText="bothSides"/>
            <wp:docPr id="652533592" name="Image 1" descr="Logo association Valentin Haüy avec les aveugles et les malvoyant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684520" name="Image 1" descr="Logo association Valentin Haüy avec les aveugles et les malvoyants 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796A">
        <w:t>Allocation Compensatrice Tierce Personne</w:t>
      </w:r>
    </w:p>
    <w:p w14:paraId="7B5C6815" w14:textId="77777777" w:rsidR="0068796A" w:rsidRPr="0068796A" w:rsidRDefault="0068796A" w:rsidP="0068796A"/>
    <w:p w14:paraId="65FC9523" w14:textId="77777777" w:rsidR="006D75C1" w:rsidRDefault="006D75C1" w:rsidP="006D75C1"/>
    <w:tbl>
      <w:tblPr>
        <w:tblStyle w:val="Grilledutableau"/>
        <w:tblW w:w="15309" w:type="dxa"/>
        <w:tblInd w:w="-572" w:type="dxa"/>
        <w:tblLook w:val="04A0" w:firstRow="1" w:lastRow="0" w:firstColumn="1" w:lastColumn="0" w:noHBand="0" w:noVBand="1"/>
      </w:tblPr>
      <w:tblGrid>
        <w:gridCol w:w="2552"/>
        <w:gridCol w:w="12757"/>
      </w:tblGrid>
      <w:tr w:rsidR="006D75C1" w14:paraId="041A9910" w14:textId="77777777" w:rsidTr="007D6A58">
        <w:trPr>
          <w:trHeight w:val="589"/>
          <w:tblHeader/>
        </w:trPr>
        <w:tc>
          <w:tcPr>
            <w:tcW w:w="2552" w:type="dxa"/>
            <w:shd w:val="clear" w:color="auto" w:fill="DD4814"/>
            <w:vAlign w:val="center"/>
          </w:tcPr>
          <w:p w14:paraId="25F26025" w14:textId="77777777" w:rsidR="006D75C1" w:rsidRDefault="006D75C1" w:rsidP="007D6A58">
            <w:pPr>
              <w:rPr>
                <w:rFonts w:ascii="Arial" w:eastAsia="MS PMincho" w:hAnsi="Arial" w:cs="Arial"/>
                <w:color w:val="000000"/>
                <w:sz w:val="40"/>
                <w:szCs w:val="40"/>
              </w:rPr>
            </w:pPr>
            <w:r w:rsidRPr="00485518">
              <w:rPr>
                <w:rFonts w:ascii="Arial" w:hAnsi="Arial" w:cs="Arial"/>
                <w:b/>
                <w:bCs/>
                <w:color w:val="0D0D0D" w:themeColor="text1" w:themeTint="F2"/>
                <w:sz w:val="26"/>
                <w:szCs w:val="26"/>
              </w:rPr>
              <w:t>Type</w:t>
            </w:r>
          </w:p>
        </w:tc>
        <w:tc>
          <w:tcPr>
            <w:tcW w:w="12757" w:type="dxa"/>
            <w:shd w:val="clear" w:color="auto" w:fill="DD4814"/>
            <w:vAlign w:val="center"/>
          </w:tcPr>
          <w:p w14:paraId="5E5F2BA7" w14:textId="77777777" w:rsidR="006D75C1" w:rsidRDefault="006D75C1" w:rsidP="007D6A58">
            <w:pPr>
              <w:rPr>
                <w:rFonts w:ascii="Arial" w:eastAsia="MS PMincho" w:hAnsi="Arial" w:cs="Arial"/>
                <w:color w:val="000000"/>
                <w:sz w:val="40"/>
                <w:szCs w:val="40"/>
              </w:rPr>
            </w:pPr>
            <w:r w:rsidRPr="00485518">
              <w:rPr>
                <w:rFonts w:ascii="Arial" w:hAnsi="Arial" w:cs="Arial"/>
                <w:b/>
                <w:bCs/>
                <w:color w:val="0D0D0D" w:themeColor="text1" w:themeTint="F2"/>
                <w:sz w:val="26"/>
                <w:szCs w:val="26"/>
              </w:rPr>
              <w:t>ACTP (Allocation Compensatrice Tierce Personne)</w:t>
            </w:r>
          </w:p>
        </w:tc>
      </w:tr>
      <w:tr w:rsidR="006D75C1" w14:paraId="6331109C" w14:textId="77777777" w:rsidTr="007D6A58">
        <w:tc>
          <w:tcPr>
            <w:tcW w:w="2552" w:type="dxa"/>
            <w:shd w:val="clear" w:color="auto" w:fill="DD4814"/>
            <w:vAlign w:val="center"/>
          </w:tcPr>
          <w:p w14:paraId="0B6EA3CD" w14:textId="77777777" w:rsidR="006D75C1" w:rsidRDefault="006D75C1" w:rsidP="007D6A58">
            <w:pPr>
              <w:rPr>
                <w:rFonts w:ascii="Arial" w:eastAsia="MS PMincho" w:hAnsi="Arial" w:cs="Arial"/>
                <w:color w:val="000000"/>
                <w:sz w:val="40"/>
                <w:szCs w:val="40"/>
              </w:rPr>
            </w:pPr>
            <w:r w:rsidRPr="00485518">
              <w:rPr>
                <w:rFonts w:ascii="Arial" w:hAnsi="Arial" w:cs="Arial"/>
                <w:b/>
                <w:bCs/>
                <w:color w:val="0D0D0D" w:themeColor="text1" w:themeTint="F2"/>
                <w:sz w:val="26"/>
                <w:szCs w:val="26"/>
              </w:rPr>
              <w:t>Condition d’âge</w:t>
            </w:r>
          </w:p>
        </w:tc>
        <w:tc>
          <w:tcPr>
            <w:tcW w:w="12757" w:type="dxa"/>
            <w:vAlign w:val="center"/>
          </w:tcPr>
          <w:p w14:paraId="2E8EB0A9" w14:textId="77777777" w:rsidR="006D75C1" w:rsidRPr="00EC0FE1" w:rsidRDefault="006D75C1" w:rsidP="007D6A58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EC0FE1">
              <w:rPr>
                <w:rFonts w:ascii="Arial" w:hAnsi="Arial" w:cs="Arial"/>
                <w:sz w:val="26"/>
                <w:szCs w:val="26"/>
              </w:rPr>
              <w:t>L’ACTP a été remplacée par la PCH depuis l’entrée en vigueur de la loi du 11/02/2005.</w:t>
            </w:r>
          </w:p>
          <w:p w14:paraId="331C1E49" w14:textId="77777777" w:rsidR="006D75C1" w:rsidRPr="00EC0FE1" w:rsidRDefault="006D75C1" w:rsidP="007D6A58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EC0FE1">
              <w:rPr>
                <w:rFonts w:ascii="Arial" w:hAnsi="Arial" w:cs="Arial"/>
                <w:sz w:val="26"/>
                <w:szCs w:val="26"/>
              </w:rPr>
              <w:t>Elle ne peut donc plus faire l’objet d’une demande.</w:t>
            </w:r>
          </w:p>
          <w:p w14:paraId="58C296A8" w14:textId="77777777" w:rsidR="006D75C1" w:rsidRPr="00EC0FE1" w:rsidRDefault="006D75C1" w:rsidP="007D6A58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EC0FE1">
              <w:rPr>
                <w:rFonts w:ascii="Arial" w:hAnsi="Arial" w:cs="Arial"/>
                <w:sz w:val="26"/>
                <w:szCs w:val="26"/>
              </w:rPr>
              <w:t>Ainsi, seules les personnes bénéficiant de l’ACTP avant 2005 continuent d’en bénéficier.</w:t>
            </w:r>
          </w:p>
          <w:p w14:paraId="3C1A9774" w14:textId="77777777" w:rsidR="006D75C1" w:rsidRDefault="006D75C1" w:rsidP="007D6A58">
            <w:pPr>
              <w:rPr>
                <w:rFonts w:ascii="Arial" w:eastAsia="MS PMincho" w:hAnsi="Arial" w:cs="Arial"/>
                <w:color w:val="000000"/>
                <w:sz w:val="40"/>
                <w:szCs w:val="40"/>
              </w:rPr>
            </w:pPr>
            <w:r w:rsidRPr="00EC0FE1">
              <w:rPr>
                <w:rFonts w:ascii="Arial" w:hAnsi="Arial" w:cs="Arial"/>
                <w:sz w:val="26"/>
                <w:szCs w:val="26"/>
              </w:rPr>
              <w:t xml:space="preserve">Elles peuvent à tout moment opter pour la PCH si les conditions leur sont plus favorables, notamment lorsqu’elles sont en activité et font valoir leurs droits à la retraite. </w:t>
            </w:r>
            <w:r w:rsidRPr="00EC0FE1">
              <w:rPr>
                <w:rFonts w:ascii="Arial" w:hAnsi="Arial" w:cs="Arial"/>
                <w:b/>
                <w:bCs/>
                <w:sz w:val="26"/>
                <w:szCs w:val="26"/>
              </w:rPr>
              <w:t>Attention</w:t>
            </w:r>
            <w:r w:rsidRPr="00EC0FE1">
              <w:rPr>
                <w:rFonts w:ascii="Arial" w:hAnsi="Arial" w:cs="Arial"/>
                <w:sz w:val="26"/>
                <w:szCs w:val="26"/>
              </w:rPr>
              <w:t xml:space="preserve"> : ce choix est définitif.</w:t>
            </w:r>
          </w:p>
        </w:tc>
      </w:tr>
      <w:tr w:rsidR="006D75C1" w14:paraId="0E545855" w14:textId="77777777" w:rsidTr="007D6A58">
        <w:tc>
          <w:tcPr>
            <w:tcW w:w="2552" w:type="dxa"/>
            <w:shd w:val="clear" w:color="auto" w:fill="DD4814"/>
            <w:vAlign w:val="center"/>
          </w:tcPr>
          <w:p w14:paraId="6C5717D9" w14:textId="77777777" w:rsidR="006D75C1" w:rsidRDefault="006D75C1" w:rsidP="007D6A58">
            <w:pPr>
              <w:rPr>
                <w:rFonts w:ascii="Arial" w:eastAsia="MS PMincho" w:hAnsi="Arial" w:cs="Arial"/>
                <w:color w:val="000000"/>
                <w:sz w:val="40"/>
                <w:szCs w:val="40"/>
              </w:rPr>
            </w:pPr>
            <w:r w:rsidRPr="00485518">
              <w:rPr>
                <w:rFonts w:ascii="Arial" w:hAnsi="Arial" w:cs="Arial"/>
                <w:b/>
                <w:bCs/>
                <w:color w:val="0D0D0D" w:themeColor="text1" w:themeTint="F2"/>
                <w:sz w:val="26"/>
                <w:szCs w:val="26"/>
              </w:rPr>
              <w:t>Résidence</w:t>
            </w:r>
          </w:p>
        </w:tc>
        <w:tc>
          <w:tcPr>
            <w:tcW w:w="12757" w:type="dxa"/>
            <w:shd w:val="clear" w:color="auto" w:fill="FFE3E3"/>
            <w:vAlign w:val="center"/>
          </w:tcPr>
          <w:p w14:paraId="643ABE3D" w14:textId="77777777" w:rsidR="006D75C1" w:rsidRPr="00EC0FE1" w:rsidRDefault="006D75C1" w:rsidP="007D6A58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EC0FE1">
              <w:rPr>
                <w:rFonts w:ascii="Arial" w:hAnsi="Arial" w:cs="Arial"/>
                <w:sz w:val="26"/>
                <w:szCs w:val="26"/>
              </w:rPr>
              <w:t>Résider de façon stable et régulière</w:t>
            </w:r>
            <w:r>
              <w:rPr>
                <w:rStyle w:val="Appelnotedebasdep"/>
                <w:rFonts w:ascii="Arial" w:hAnsi="Arial" w:cs="Arial"/>
                <w:sz w:val="26"/>
                <w:szCs w:val="26"/>
              </w:rPr>
              <w:footnoteReference w:id="4"/>
            </w:r>
            <w:r w:rsidRPr="00EC0FE1">
              <w:rPr>
                <w:rFonts w:ascii="Arial" w:hAnsi="Arial" w:cs="Arial"/>
                <w:sz w:val="26"/>
                <w:szCs w:val="26"/>
              </w:rPr>
              <w:t xml:space="preserve"> en France, dans les </w:t>
            </w:r>
            <w:r w:rsidRPr="00EC0FE1">
              <w:rPr>
                <w:rFonts w:ascii="Arial" w:hAnsi="Arial" w:cs="Arial"/>
                <w:b/>
                <w:bCs/>
                <w:sz w:val="26"/>
                <w:szCs w:val="26"/>
              </w:rPr>
              <w:t>DROM-COM</w:t>
            </w:r>
            <w:r w:rsidRPr="00EC0FE1">
              <w:rPr>
                <w:rFonts w:ascii="Arial" w:hAnsi="Arial" w:cs="Arial"/>
                <w:sz w:val="26"/>
                <w:szCs w:val="26"/>
              </w:rPr>
              <w:t>, ou à S</w:t>
            </w:r>
            <w:r>
              <w:rPr>
                <w:rFonts w:ascii="Arial" w:hAnsi="Arial" w:cs="Arial"/>
                <w:sz w:val="26"/>
                <w:szCs w:val="26"/>
              </w:rPr>
              <w:t>aint-</w:t>
            </w:r>
            <w:r w:rsidRPr="00EC0FE1">
              <w:rPr>
                <w:rFonts w:ascii="Arial" w:hAnsi="Arial" w:cs="Arial"/>
                <w:sz w:val="26"/>
                <w:szCs w:val="26"/>
              </w:rPr>
              <w:t>Pierre</w:t>
            </w:r>
            <w:r>
              <w:rPr>
                <w:rFonts w:ascii="Arial" w:hAnsi="Arial" w:cs="Arial"/>
                <w:sz w:val="26"/>
                <w:szCs w:val="26"/>
              </w:rPr>
              <w:t>-</w:t>
            </w:r>
            <w:r w:rsidRPr="00EC0FE1">
              <w:rPr>
                <w:rFonts w:ascii="Arial" w:hAnsi="Arial" w:cs="Arial"/>
                <w:sz w:val="26"/>
                <w:szCs w:val="26"/>
              </w:rPr>
              <w:t>et</w:t>
            </w:r>
            <w:r>
              <w:rPr>
                <w:rFonts w:ascii="Arial" w:hAnsi="Arial" w:cs="Arial"/>
                <w:sz w:val="26"/>
                <w:szCs w:val="26"/>
              </w:rPr>
              <w:t>-</w:t>
            </w:r>
            <w:r w:rsidRPr="00EC0FE1">
              <w:rPr>
                <w:rFonts w:ascii="Arial" w:hAnsi="Arial" w:cs="Arial"/>
                <w:sz w:val="26"/>
                <w:szCs w:val="26"/>
              </w:rPr>
              <w:t>Miquelon.</w:t>
            </w:r>
          </w:p>
          <w:p w14:paraId="3CA12545" w14:textId="77777777" w:rsidR="006D75C1" w:rsidRPr="00EC0FE1" w:rsidRDefault="006D75C1" w:rsidP="007D6A58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EC0FE1">
              <w:rPr>
                <w:rFonts w:ascii="Arial" w:hAnsi="Arial" w:cs="Arial"/>
                <w:sz w:val="26"/>
                <w:szCs w:val="26"/>
              </w:rPr>
              <w:t>Si de nationalité étrangère :</w:t>
            </w:r>
          </w:p>
          <w:p w14:paraId="0D1F8C41" w14:textId="77777777" w:rsidR="006D75C1" w:rsidRDefault="006D75C1" w:rsidP="007D6A58">
            <w:pPr>
              <w:rPr>
                <w:rFonts w:ascii="Arial" w:eastAsia="MS PMincho" w:hAnsi="Arial" w:cs="Arial"/>
                <w:color w:val="000000"/>
                <w:sz w:val="40"/>
                <w:szCs w:val="40"/>
              </w:rPr>
            </w:pPr>
            <w:r w:rsidRPr="00EC0FE1">
              <w:rPr>
                <w:rFonts w:ascii="Arial" w:hAnsi="Arial" w:cs="Arial"/>
                <w:sz w:val="26"/>
                <w:szCs w:val="26"/>
              </w:rPr>
              <w:t>Document justifiant de la régularité du séjour.</w:t>
            </w:r>
          </w:p>
        </w:tc>
      </w:tr>
      <w:tr w:rsidR="006D75C1" w14:paraId="76C9B0D2" w14:textId="77777777" w:rsidTr="007D6A58">
        <w:tc>
          <w:tcPr>
            <w:tcW w:w="2552" w:type="dxa"/>
            <w:shd w:val="clear" w:color="auto" w:fill="DD4814"/>
            <w:vAlign w:val="center"/>
          </w:tcPr>
          <w:p w14:paraId="54CD69A1" w14:textId="77777777" w:rsidR="006D75C1" w:rsidRDefault="006D75C1" w:rsidP="007D6A58">
            <w:pPr>
              <w:rPr>
                <w:rFonts w:ascii="Arial" w:eastAsia="MS PMincho" w:hAnsi="Arial" w:cs="Arial"/>
                <w:color w:val="000000"/>
                <w:sz w:val="40"/>
                <w:szCs w:val="40"/>
              </w:rPr>
            </w:pPr>
            <w:r w:rsidRPr="00485518">
              <w:rPr>
                <w:rFonts w:ascii="Arial" w:hAnsi="Arial" w:cs="Arial"/>
                <w:b/>
                <w:bCs/>
                <w:color w:val="0D0D0D" w:themeColor="text1" w:themeTint="F2"/>
                <w:sz w:val="26"/>
                <w:szCs w:val="26"/>
              </w:rPr>
              <w:t>Incapacité</w:t>
            </w:r>
          </w:p>
        </w:tc>
        <w:tc>
          <w:tcPr>
            <w:tcW w:w="12757" w:type="dxa"/>
            <w:vAlign w:val="center"/>
          </w:tcPr>
          <w:p w14:paraId="675A1A88" w14:textId="77777777" w:rsidR="006D75C1" w:rsidRPr="00841AD0" w:rsidRDefault="006D75C1" w:rsidP="007D6A58">
            <w:pPr>
              <w:pStyle w:val="Paragraphedeliste"/>
              <w:numPr>
                <w:ilvl w:val="0"/>
                <w:numId w:val="4"/>
              </w:numPr>
              <w:spacing w:line="276" w:lineRule="auto"/>
              <w:ind w:left="360"/>
              <w:rPr>
                <w:rFonts w:ascii="Arial" w:hAnsi="Arial" w:cs="Arial"/>
                <w:sz w:val="26"/>
                <w:szCs w:val="26"/>
              </w:rPr>
            </w:pPr>
            <w:r w:rsidRPr="00841AD0">
              <w:rPr>
                <w:rFonts w:ascii="Arial" w:hAnsi="Arial" w:cs="Arial"/>
                <w:sz w:val="26"/>
                <w:szCs w:val="26"/>
              </w:rPr>
              <w:t xml:space="preserve">Avoir un </w:t>
            </w:r>
            <w:r w:rsidRPr="00841AD0">
              <w:rPr>
                <w:rFonts w:ascii="Arial" w:hAnsi="Arial" w:cs="Arial"/>
                <w:b/>
                <w:bCs/>
                <w:sz w:val="26"/>
                <w:szCs w:val="26"/>
              </w:rPr>
              <w:t>taux d’incapacité d’au moins 80 %.</w:t>
            </w:r>
          </w:p>
          <w:p w14:paraId="06B8B378" w14:textId="77777777" w:rsidR="006D75C1" w:rsidRPr="00841AD0" w:rsidRDefault="006D75C1" w:rsidP="007D6A58">
            <w:pPr>
              <w:pStyle w:val="Paragraphedeliste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6"/>
                <w:szCs w:val="26"/>
              </w:rPr>
            </w:pPr>
            <w:r w:rsidRPr="00841AD0">
              <w:rPr>
                <w:rFonts w:ascii="Arial" w:hAnsi="Arial" w:cs="Arial"/>
                <w:sz w:val="26"/>
                <w:szCs w:val="26"/>
              </w:rPr>
              <w:t xml:space="preserve">Être dans un </w:t>
            </w:r>
            <w:r w:rsidRPr="00841AD0">
              <w:rPr>
                <w:rFonts w:ascii="Arial" w:hAnsi="Arial" w:cs="Arial"/>
                <w:b/>
                <w:bCs/>
                <w:sz w:val="26"/>
                <w:szCs w:val="26"/>
              </w:rPr>
              <w:t>état de besoin</w:t>
            </w:r>
            <w:r w:rsidRPr="00841AD0">
              <w:rPr>
                <w:rFonts w:ascii="Arial" w:hAnsi="Arial" w:cs="Arial"/>
                <w:sz w:val="26"/>
                <w:szCs w:val="26"/>
              </w:rPr>
              <w:t xml:space="preserve"> lié à une situation nécessitant l’aide constante d’une tierce personne pour les actes essentiels de l’existence.</w:t>
            </w: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</w:p>
        </w:tc>
      </w:tr>
      <w:tr w:rsidR="006D75C1" w14:paraId="7E147037" w14:textId="77777777" w:rsidTr="007D6A58">
        <w:tc>
          <w:tcPr>
            <w:tcW w:w="2552" w:type="dxa"/>
            <w:shd w:val="clear" w:color="auto" w:fill="DD4814"/>
            <w:vAlign w:val="center"/>
          </w:tcPr>
          <w:p w14:paraId="32916B44" w14:textId="77777777" w:rsidR="006D75C1" w:rsidRDefault="006D75C1" w:rsidP="007D6A58">
            <w:pPr>
              <w:rPr>
                <w:rFonts w:ascii="Arial" w:eastAsia="MS PMincho" w:hAnsi="Arial" w:cs="Arial"/>
                <w:color w:val="000000"/>
                <w:sz w:val="40"/>
                <w:szCs w:val="40"/>
              </w:rPr>
            </w:pPr>
            <w:r w:rsidRPr="00485518">
              <w:rPr>
                <w:rFonts w:ascii="Arial" w:hAnsi="Arial" w:cs="Arial"/>
                <w:b/>
                <w:bCs/>
                <w:color w:val="0D0D0D" w:themeColor="text1" w:themeTint="F2"/>
                <w:sz w:val="26"/>
                <w:szCs w:val="26"/>
              </w:rPr>
              <w:t>Ressources</w:t>
            </w:r>
          </w:p>
        </w:tc>
        <w:tc>
          <w:tcPr>
            <w:tcW w:w="12757" w:type="dxa"/>
            <w:shd w:val="clear" w:color="auto" w:fill="FFE3E3"/>
            <w:vAlign w:val="center"/>
          </w:tcPr>
          <w:p w14:paraId="0FCCD6AA" w14:textId="77777777" w:rsidR="006D75C1" w:rsidRPr="00EC0FE1" w:rsidRDefault="006D75C1" w:rsidP="007D6A58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EC0FE1">
              <w:rPr>
                <w:rFonts w:ascii="Arial" w:hAnsi="Arial" w:cs="Arial"/>
                <w:sz w:val="26"/>
                <w:szCs w:val="26"/>
              </w:rPr>
              <w:t>Le versement de l’ACTP est soumis à un plafond de ressources (</w:t>
            </w:r>
            <w:proofErr w:type="spellStart"/>
            <w:r w:rsidRPr="00EC0FE1">
              <w:rPr>
                <w:rFonts w:ascii="Arial" w:hAnsi="Arial" w:cs="Arial"/>
                <w:sz w:val="26"/>
                <w:szCs w:val="26"/>
              </w:rPr>
              <w:t>cf</w:t>
            </w:r>
            <w:proofErr w:type="spellEnd"/>
            <w:r w:rsidRPr="00EC0FE1">
              <w:rPr>
                <w:rFonts w:ascii="Arial" w:hAnsi="Arial" w:cs="Arial"/>
                <w:sz w:val="26"/>
                <w:szCs w:val="26"/>
              </w:rPr>
              <w:t xml:space="preserve"> tableau des plafonds).</w:t>
            </w:r>
          </w:p>
          <w:p w14:paraId="4053EBC2" w14:textId="77777777" w:rsidR="006D75C1" w:rsidRPr="00EC0FE1" w:rsidRDefault="006D75C1" w:rsidP="007D6A58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EC0FE1">
              <w:rPr>
                <w:rFonts w:ascii="Arial" w:hAnsi="Arial" w:cs="Arial"/>
                <w:sz w:val="26"/>
                <w:szCs w:val="26"/>
              </w:rPr>
              <w:t>Est pris en compte le revenu fiscal net du foyer.</w:t>
            </w:r>
          </w:p>
          <w:p w14:paraId="6E884D90" w14:textId="77777777" w:rsidR="006D75C1" w:rsidRDefault="006D75C1" w:rsidP="007D6A58">
            <w:pPr>
              <w:rPr>
                <w:rFonts w:ascii="Arial" w:eastAsia="MS PMincho" w:hAnsi="Arial" w:cs="Arial"/>
                <w:color w:val="000000"/>
                <w:sz w:val="40"/>
                <w:szCs w:val="40"/>
              </w:rPr>
            </w:pPr>
            <w:r w:rsidRPr="00EC0FE1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Attention : </w:t>
            </w:r>
            <w:r w:rsidRPr="00EC0FE1">
              <w:rPr>
                <w:rFonts w:ascii="Arial" w:hAnsi="Arial" w:cs="Arial"/>
                <w:sz w:val="26"/>
                <w:szCs w:val="26"/>
              </w:rPr>
              <w:t>le produit du travail de l’intéressé ne figure que pour un quart dans l’évaluation de ses ressources.</w:t>
            </w:r>
          </w:p>
        </w:tc>
      </w:tr>
      <w:tr w:rsidR="006D75C1" w14:paraId="719FC563" w14:textId="77777777" w:rsidTr="007C223E">
        <w:trPr>
          <w:trHeight w:val="2373"/>
        </w:trPr>
        <w:tc>
          <w:tcPr>
            <w:tcW w:w="2552" w:type="dxa"/>
            <w:shd w:val="clear" w:color="auto" w:fill="DD4814"/>
            <w:vAlign w:val="center"/>
          </w:tcPr>
          <w:p w14:paraId="7121E530" w14:textId="77777777" w:rsidR="006D75C1" w:rsidRDefault="006D75C1" w:rsidP="007D6A58">
            <w:pPr>
              <w:rPr>
                <w:rFonts w:ascii="Arial" w:eastAsia="MS PMincho" w:hAnsi="Arial" w:cs="Arial"/>
                <w:color w:val="000000"/>
                <w:sz w:val="40"/>
                <w:szCs w:val="40"/>
              </w:rPr>
            </w:pPr>
            <w:r w:rsidRPr="00485518">
              <w:rPr>
                <w:rFonts w:ascii="Arial" w:hAnsi="Arial" w:cs="Arial"/>
                <w:b/>
                <w:bCs/>
                <w:color w:val="0D0D0D" w:themeColor="text1" w:themeTint="F2"/>
                <w:sz w:val="26"/>
                <w:szCs w:val="26"/>
              </w:rPr>
              <w:lastRenderedPageBreak/>
              <w:t>Montant</w:t>
            </w:r>
          </w:p>
        </w:tc>
        <w:tc>
          <w:tcPr>
            <w:tcW w:w="12757" w:type="dxa"/>
            <w:vAlign w:val="center"/>
          </w:tcPr>
          <w:p w14:paraId="3C626257" w14:textId="77777777" w:rsidR="006D75C1" w:rsidRPr="00EC0FE1" w:rsidRDefault="006D75C1" w:rsidP="007D6A58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EC0FE1">
              <w:rPr>
                <w:rFonts w:ascii="Arial" w:hAnsi="Arial" w:cs="Arial"/>
                <w:sz w:val="26"/>
                <w:szCs w:val="26"/>
              </w:rPr>
              <w:t>Le montant varie entre 40</w:t>
            </w:r>
            <w:r>
              <w:rPr>
                <w:rFonts w:ascii="Arial" w:hAnsi="Arial" w:cs="Arial"/>
                <w:sz w:val="26"/>
                <w:szCs w:val="26"/>
              </w:rPr>
              <w:t> </w:t>
            </w:r>
            <w:r w:rsidRPr="00EC0FE1">
              <w:rPr>
                <w:rFonts w:ascii="Arial" w:hAnsi="Arial" w:cs="Arial"/>
                <w:sz w:val="26"/>
                <w:szCs w:val="26"/>
              </w:rPr>
              <w:t>% et 80 % de la Majoration Tierce Personne (MTP) en fonction des besoins de la personne déficiente visuelle.</w:t>
            </w:r>
          </w:p>
          <w:p w14:paraId="25637FD8" w14:textId="77777777" w:rsidR="006D75C1" w:rsidRPr="00EC0FE1" w:rsidRDefault="006D75C1" w:rsidP="007D6A58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EC0FE1">
              <w:rPr>
                <w:rFonts w:ascii="Arial" w:hAnsi="Arial" w:cs="Arial"/>
                <w:sz w:val="26"/>
                <w:szCs w:val="26"/>
              </w:rPr>
              <w:t>Toutefois, les personnes atteintes de cécité (acuité visuelle inférieure à moins de 1/20ème) perçoivent l’ACTP au taux maximum tant que la condition de ressources est remplie.</w:t>
            </w:r>
          </w:p>
          <w:p w14:paraId="752C4BF2" w14:textId="77777777" w:rsidR="006D75C1" w:rsidRPr="00EC0FE1" w:rsidRDefault="006D75C1" w:rsidP="007D6A58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EC0FE1">
              <w:rPr>
                <w:rFonts w:ascii="Arial" w:hAnsi="Arial" w:cs="Arial"/>
                <w:sz w:val="26"/>
                <w:szCs w:val="26"/>
              </w:rPr>
              <w:t>L’ACTP est versée par le Conseil Départemental.</w:t>
            </w:r>
          </w:p>
          <w:p w14:paraId="3F6A71E2" w14:textId="77777777" w:rsidR="006D75C1" w:rsidRDefault="006D75C1" w:rsidP="007D6A58">
            <w:pPr>
              <w:rPr>
                <w:rFonts w:ascii="Arial" w:eastAsia="MS PMincho" w:hAnsi="Arial" w:cs="Arial"/>
                <w:color w:val="000000"/>
                <w:sz w:val="40"/>
                <w:szCs w:val="40"/>
              </w:rPr>
            </w:pPr>
            <w:r w:rsidRPr="00EC0FE1">
              <w:rPr>
                <w:rFonts w:ascii="Arial" w:hAnsi="Arial" w:cs="Arial"/>
                <w:sz w:val="26"/>
                <w:szCs w:val="26"/>
              </w:rPr>
              <w:t>Elle peut être attribuée sans limitation de durée si le handicap n’est pas susceptible d’évolution favorable.</w:t>
            </w:r>
          </w:p>
        </w:tc>
      </w:tr>
    </w:tbl>
    <w:p w14:paraId="712BB465" w14:textId="77777777" w:rsidR="00834771" w:rsidRDefault="00834771"/>
    <w:sectPr w:rsidR="00834771" w:rsidSect="009B0256">
      <w:footerReference w:type="default" r:id="rId10"/>
      <w:pgSz w:w="16838" w:h="11906" w:orient="landscape"/>
      <w:pgMar w:top="70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C9CAB" w14:textId="77777777" w:rsidR="001F0DFA" w:rsidRDefault="001F0DFA" w:rsidP="00D30C87">
      <w:pPr>
        <w:spacing w:after="0" w:line="240" w:lineRule="auto"/>
      </w:pPr>
      <w:r>
        <w:separator/>
      </w:r>
    </w:p>
  </w:endnote>
  <w:endnote w:type="continuationSeparator" w:id="0">
    <w:p w14:paraId="54D8CC11" w14:textId="77777777" w:rsidR="001F0DFA" w:rsidRDefault="001F0DFA" w:rsidP="00D3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5990532"/>
      <w:docPartObj>
        <w:docPartGallery w:val="Page Numbers (Bottom of Page)"/>
        <w:docPartUnique/>
      </w:docPartObj>
    </w:sdtPr>
    <w:sdtEndPr/>
    <w:sdtContent>
      <w:p w14:paraId="1BB9BA78" w14:textId="1F565F1B" w:rsidR="001305A8" w:rsidRDefault="001305A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B06E1D" w14:textId="77777777" w:rsidR="001305A8" w:rsidRDefault="001305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ADC2C" w14:textId="77777777" w:rsidR="001F0DFA" w:rsidRDefault="001F0DFA" w:rsidP="00D30C87">
      <w:pPr>
        <w:spacing w:after="0" w:line="240" w:lineRule="auto"/>
      </w:pPr>
      <w:r>
        <w:separator/>
      </w:r>
    </w:p>
  </w:footnote>
  <w:footnote w:type="continuationSeparator" w:id="0">
    <w:p w14:paraId="6B4EECA6" w14:textId="77777777" w:rsidR="001F0DFA" w:rsidRDefault="001F0DFA" w:rsidP="00D30C87">
      <w:pPr>
        <w:spacing w:after="0" w:line="240" w:lineRule="auto"/>
      </w:pPr>
      <w:r>
        <w:continuationSeparator/>
      </w:r>
    </w:p>
  </w:footnote>
  <w:footnote w:id="1">
    <w:p w14:paraId="7959EB77" w14:textId="558F02C9" w:rsidR="00841AD0" w:rsidRDefault="00841AD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841AD0">
        <w:rPr>
          <w:sz w:val="24"/>
          <w:szCs w:val="24"/>
        </w:rPr>
        <w:t>Définition à voir dans la fiche « Prestation de compensation »</w:t>
      </w:r>
    </w:p>
  </w:footnote>
  <w:footnote w:id="2">
    <w:p w14:paraId="4E1D5ED9" w14:textId="0A79C59F" w:rsidR="00127B7E" w:rsidRPr="007C223E" w:rsidRDefault="00127B7E">
      <w:pPr>
        <w:pStyle w:val="Notedebasdepage"/>
        <w:rPr>
          <w:sz w:val="24"/>
          <w:szCs w:val="24"/>
        </w:rPr>
      </w:pPr>
      <w:r w:rsidRPr="007C223E">
        <w:rPr>
          <w:rStyle w:val="Appelnotedebasdep"/>
          <w:sz w:val="24"/>
          <w:szCs w:val="24"/>
        </w:rPr>
        <w:footnoteRef/>
      </w:r>
      <w:r w:rsidRPr="007C223E">
        <w:rPr>
          <w:sz w:val="24"/>
          <w:szCs w:val="24"/>
        </w:rPr>
        <w:t xml:space="preserve"> Définition à voir dans la fiche « Prestation de compensation »</w:t>
      </w:r>
    </w:p>
  </w:footnote>
  <w:footnote w:id="3">
    <w:p w14:paraId="5B560584" w14:textId="70FACC6D" w:rsidR="00127B7E" w:rsidRPr="007C223E" w:rsidRDefault="00127B7E">
      <w:pPr>
        <w:pStyle w:val="Notedebasdepage"/>
        <w:rPr>
          <w:sz w:val="24"/>
          <w:szCs w:val="24"/>
        </w:rPr>
      </w:pPr>
      <w:r w:rsidRPr="007C223E">
        <w:rPr>
          <w:rStyle w:val="Appelnotedebasdep"/>
          <w:sz w:val="24"/>
          <w:szCs w:val="24"/>
        </w:rPr>
        <w:footnoteRef/>
      </w:r>
      <w:r w:rsidRPr="007C223E">
        <w:rPr>
          <w:sz w:val="24"/>
          <w:szCs w:val="24"/>
        </w:rPr>
        <w:t xml:space="preserve"> </w:t>
      </w:r>
      <w:r w:rsidR="007C223E" w:rsidRPr="007C223E">
        <w:rPr>
          <w:sz w:val="24"/>
          <w:szCs w:val="24"/>
        </w:rPr>
        <w:t>Liste dans Annexe 2-5 du CASF</w:t>
      </w:r>
    </w:p>
  </w:footnote>
  <w:footnote w:id="4">
    <w:p w14:paraId="12953D87" w14:textId="77777777" w:rsidR="006D75C1" w:rsidRDefault="006D75C1" w:rsidP="006D75C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841AD0">
        <w:rPr>
          <w:sz w:val="24"/>
          <w:szCs w:val="24"/>
        </w:rPr>
        <w:t>Définition à voir dans la fiche « Prestation de compensation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F26F0"/>
    <w:multiLevelType w:val="multilevel"/>
    <w:tmpl w:val="F10E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E90804"/>
    <w:multiLevelType w:val="hybridMultilevel"/>
    <w:tmpl w:val="731A4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813483"/>
    <w:multiLevelType w:val="hybridMultilevel"/>
    <w:tmpl w:val="15D01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82C95"/>
    <w:multiLevelType w:val="hybridMultilevel"/>
    <w:tmpl w:val="FB98B2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395BEB"/>
    <w:multiLevelType w:val="hybridMultilevel"/>
    <w:tmpl w:val="A7B66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ACAD2A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3140B"/>
    <w:multiLevelType w:val="hybridMultilevel"/>
    <w:tmpl w:val="9D0EAE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85493"/>
    <w:multiLevelType w:val="hybridMultilevel"/>
    <w:tmpl w:val="72AA7D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9821965">
    <w:abstractNumId w:val="6"/>
  </w:num>
  <w:num w:numId="2" w16cid:durableId="128672034">
    <w:abstractNumId w:val="0"/>
  </w:num>
  <w:num w:numId="3" w16cid:durableId="953634630">
    <w:abstractNumId w:val="5"/>
  </w:num>
  <w:num w:numId="4" w16cid:durableId="1331250572">
    <w:abstractNumId w:val="2"/>
  </w:num>
  <w:num w:numId="5" w16cid:durableId="701714609">
    <w:abstractNumId w:val="4"/>
  </w:num>
  <w:num w:numId="6" w16cid:durableId="1098331137">
    <w:abstractNumId w:val="3"/>
  </w:num>
  <w:num w:numId="7" w16cid:durableId="1000473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87"/>
    <w:rsid w:val="00127B7E"/>
    <w:rsid w:val="001305A8"/>
    <w:rsid w:val="001F0DFA"/>
    <w:rsid w:val="0023549E"/>
    <w:rsid w:val="00274212"/>
    <w:rsid w:val="002E2629"/>
    <w:rsid w:val="00456B27"/>
    <w:rsid w:val="004D5FF8"/>
    <w:rsid w:val="004D60DE"/>
    <w:rsid w:val="00587D36"/>
    <w:rsid w:val="0068796A"/>
    <w:rsid w:val="006D75C1"/>
    <w:rsid w:val="00727096"/>
    <w:rsid w:val="007C223E"/>
    <w:rsid w:val="007C52D1"/>
    <w:rsid w:val="00834771"/>
    <w:rsid w:val="00841AD0"/>
    <w:rsid w:val="009407C9"/>
    <w:rsid w:val="00996FA8"/>
    <w:rsid w:val="009B0256"/>
    <w:rsid w:val="00B91164"/>
    <w:rsid w:val="00BC4E83"/>
    <w:rsid w:val="00C058BC"/>
    <w:rsid w:val="00C175D7"/>
    <w:rsid w:val="00C20E70"/>
    <w:rsid w:val="00C36BF1"/>
    <w:rsid w:val="00D30C87"/>
    <w:rsid w:val="00D642B2"/>
    <w:rsid w:val="00D9575C"/>
    <w:rsid w:val="00DA2C19"/>
    <w:rsid w:val="00E1061B"/>
    <w:rsid w:val="00FD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768B"/>
  <w15:chartTrackingRefBased/>
  <w15:docId w15:val="{9BB797D5-F919-43C8-8231-5D7052E9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30C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30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30C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30C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30C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30C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30C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30C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30C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0C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30C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30C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30C8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30C8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30C8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30C8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30C8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30C8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3"/>
    <w:qFormat/>
    <w:rsid w:val="00D30C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3"/>
    <w:rsid w:val="00D30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30C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30C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30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30C8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30C8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30C8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30C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30C8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30C87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D30C87"/>
    <w:pPr>
      <w:spacing w:after="0" w:line="240" w:lineRule="auto"/>
    </w:pPr>
    <w:rPr>
      <w:rFonts w:eastAsiaTheme="minorEastAsia"/>
      <w:kern w:val="0"/>
      <w:sz w:val="18"/>
      <w:szCs w:val="1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30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0C87"/>
  </w:style>
  <w:style w:type="paragraph" w:styleId="Pieddepage">
    <w:name w:val="footer"/>
    <w:basedOn w:val="Normal"/>
    <w:link w:val="PieddepageCar"/>
    <w:uiPriority w:val="99"/>
    <w:unhideWhenUsed/>
    <w:rsid w:val="00D30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0C87"/>
  </w:style>
  <w:style w:type="character" w:styleId="Lienhypertexte">
    <w:name w:val="Hyperlink"/>
    <w:basedOn w:val="Policepardfaut"/>
    <w:uiPriority w:val="99"/>
    <w:unhideWhenUsed/>
    <w:rsid w:val="00834771"/>
    <w:rPr>
      <w:color w:val="467886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41AD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41AD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41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ervice-public.fr/particuliers/vosdroits/F1731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A3D3-CC7A-47DD-B75D-F66E3B030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1203</Words>
  <Characters>6622</Characters>
  <Application>Microsoft Office Word</Application>
  <DocSecurity>4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VACHER Elisa</dc:creator>
  <cp:keywords/>
  <dc:description/>
  <cp:lastModifiedBy>JONNEAU Mayssa</cp:lastModifiedBy>
  <cp:revision>2</cp:revision>
  <dcterms:created xsi:type="dcterms:W3CDTF">2025-04-03T15:00:00Z</dcterms:created>
  <dcterms:modified xsi:type="dcterms:W3CDTF">2025-04-03T15:00:00Z</dcterms:modified>
</cp:coreProperties>
</file>