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0B7E9" w14:textId="0A5B3CC7" w:rsidR="006155FA" w:rsidRDefault="00514EF3">
      <w:pPr>
        <w:rPr>
          <w:rFonts w:ascii="Arial" w:hAnsi="Arial" w:cs="Arial"/>
        </w:rPr>
      </w:pPr>
      <w:r>
        <w:rPr>
          <w:noProof/>
          <w:color w:val="000000"/>
          <w:sz w:val="22"/>
          <w:szCs w:val="22"/>
          <w:u w:color="000000"/>
        </w:rPr>
        <w:drawing>
          <wp:anchor distT="0" distB="0" distL="114300" distR="114300" simplePos="0" relativeHeight="251665408" behindDoc="0" locked="0" layoutInCell="1" allowOverlap="1" wp14:anchorId="1D7A75AC" wp14:editId="586CE6E9">
            <wp:simplePos x="0" y="0"/>
            <wp:positionH relativeFrom="column">
              <wp:posOffset>3225165</wp:posOffset>
            </wp:positionH>
            <wp:positionV relativeFrom="paragraph">
              <wp:posOffset>-767080</wp:posOffset>
            </wp:positionV>
            <wp:extent cx="1828800" cy="1403944"/>
            <wp:effectExtent l="0" t="0" r="0" b="6350"/>
            <wp:wrapNone/>
            <wp:docPr id="2130471150" name="Image 3" descr="CFPS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71150" name="Image 3" descr="CFPSAA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403944"/>
                    </a:xfrm>
                    <a:prstGeom prst="rect">
                      <a:avLst/>
                    </a:prstGeom>
                  </pic:spPr>
                </pic:pic>
              </a:graphicData>
            </a:graphic>
            <wp14:sizeRelH relativeFrom="margin">
              <wp14:pctWidth>0</wp14:pctWidth>
            </wp14:sizeRelH>
            <wp14:sizeRelV relativeFrom="margin">
              <wp14:pctHeight>0</wp14:pctHeight>
            </wp14:sizeRelV>
          </wp:anchor>
        </w:drawing>
      </w:r>
      <w:r>
        <w:rPr>
          <w:rStyle w:val="Titre5Car"/>
          <w:noProof/>
          <w:color w:val="000000"/>
          <w:u w:color="000000"/>
        </w:rPr>
        <w:drawing>
          <wp:anchor distT="0" distB="0" distL="0" distR="0" simplePos="0" relativeHeight="251663360" behindDoc="0" locked="0" layoutInCell="1" allowOverlap="1" wp14:anchorId="0E59C4C0" wp14:editId="175EF1EA">
            <wp:simplePos x="0" y="0"/>
            <wp:positionH relativeFrom="page">
              <wp:posOffset>1384300</wp:posOffset>
            </wp:positionH>
            <wp:positionV relativeFrom="line">
              <wp:posOffset>-589280</wp:posOffset>
            </wp:positionV>
            <wp:extent cx="1638300" cy="1029335"/>
            <wp:effectExtent l="0" t="0" r="0" b="0"/>
            <wp:wrapNone/>
            <wp:docPr id="1073741825" name="officeArt object" descr="Valentin Haüy - Avec les aveugles et les malvoyants - Agir pour l'autonomie (logo). "/>
            <wp:cNvGraphicFramePr/>
            <a:graphic xmlns:a="http://schemas.openxmlformats.org/drawingml/2006/main">
              <a:graphicData uri="http://schemas.openxmlformats.org/drawingml/2006/picture">
                <pic:pic xmlns:pic="http://schemas.openxmlformats.org/drawingml/2006/picture">
                  <pic:nvPicPr>
                    <pic:cNvPr id="1073741825" name="Valentin Haüy - Avec les aveugles et les malvoyants - Agir pour l'autonomie (logo). " descr="Valentin Haüy - Avec les aveugles et les malvoyants - Agir pour l'autonomie (logo). "/>
                    <pic:cNvPicPr>
                      <a:picLocks noChangeAspect="1"/>
                    </pic:cNvPicPr>
                  </pic:nvPicPr>
                  <pic:blipFill>
                    <a:blip r:embed="rId9"/>
                    <a:stretch>
                      <a:fillRect/>
                    </a:stretch>
                  </pic:blipFill>
                  <pic:spPr>
                    <a:xfrm>
                      <a:off x="0" y="0"/>
                      <a:ext cx="1638300" cy="1029335"/>
                    </a:xfrm>
                    <a:prstGeom prst="rect">
                      <a:avLst/>
                    </a:prstGeom>
                    <a:ln w="12700" cap="flat">
                      <a:noFill/>
                      <a:miter lim="400000"/>
                    </a:ln>
                    <a:effectLst/>
                  </pic:spPr>
                </pic:pic>
              </a:graphicData>
            </a:graphic>
          </wp:anchor>
        </w:drawing>
      </w:r>
    </w:p>
    <w:p w14:paraId="59E95F2E" w14:textId="68F5539C" w:rsidR="0060119D" w:rsidRDefault="006155FA" w:rsidP="0060119D">
      <w:pPr>
        <w:rPr>
          <w:rFonts w:ascii="Arial" w:hAnsi="Arial" w:cs="Arial"/>
        </w:rPr>
      </w:pPr>
      <w:r w:rsidRPr="006155FA">
        <w:rPr>
          <w:rFonts w:ascii="Helvetica Neue" w:eastAsia="Arial Unicode MS" w:hAnsi="Helvetica Neue" w:cs="Arial Unicode MS"/>
          <w:noProof/>
          <w:color w:val="000000"/>
          <w:kern w:val="0"/>
          <w:bdr w:val="nil"/>
          <w:lang w:val="en-US"/>
          <w14:textOutline w14:w="0" w14:cap="flat" w14:cmpd="sng" w14:algn="ctr">
            <w14:noFill/>
            <w14:prstDash w14:val="solid"/>
            <w14:bevel/>
          </w14:textOutline>
          <w14:ligatures w14:val="none"/>
        </w:rPr>
        <mc:AlternateContent>
          <mc:Choice Requires="wps">
            <w:drawing>
              <wp:anchor distT="80010" distB="80010" distL="80010" distR="80010" simplePos="0" relativeHeight="251661312" behindDoc="0" locked="0" layoutInCell="1" allowOverlap="1" wp14:anchorId="0E77F785" wp14:editId="57B5223D">
                <wp:simplePos x="0" y="0"/>
                <wp:positionH relativeFrom="margin">
                  <wp:align>center</wp:align>
                </wp:positionH>
                <wp:positionV relativeFrom="line">
                  <wp:posOffset>372861</wp:posOffset>
                </wp:positionV>
                <wp:extent cx="6819900" cy="1059872"/>
                <wp:effectExtent l="0" t="0" r="19050" b="26035"/>
                <wp:wrapSquare wrapText="bothSides" distT="80010" distB="80010" distL="80010" distR="80010"/>
                <wp:docPr id="1073741826" name="officeArt object" descr="Zone de texte 2"/>
                <wp:cNvGraphicFramePr/>
                <a:graphic xmlns:a="http://schemas.openxmlformats.org/drawingml/2006/main">
                  <a:graphicData uri="http://schemas.microsoft.com/office/word/2010/wordprocessingShape">
                    <wps:wsp>
                      <wps:cNvSpPr txBox="1"/>
                      <wps:spPr>
                        <a:xfrm>
                          <a:off x="0" y="0"/>
                          <a:ext cx="6819900" cy="1059872"/>
                        </a:xfrm>
                        <a:prstGeom prst="rect">
                          <a:avLst/>
                        </a:prstGeom>
                        <a:solidFill>
                          <a:srgbClr val="7030A0"/>
                        </a:solidFill>
                        <a:ln w="9525" cap="flat">
                          <a:solidFill>
                            <a:srgbClr val="000000"/>
                          </a:solidFill>
                          <a:prstDash val="solid"/>
                          <a:miter lim="800000"/>
                        </a:ln>
                        <a:effectLst/>
                      </wps:spPr>
                      <wps:txbx>
                        <w:txbxContent>
                          <w:p w14:paraId="0ECC2B4D" w14:textId="2DD59D19" w:rsidR="006155FA" w:rsidRDefault="006155FA" w:rsidP="006155FA">
                            <w:pPr>
                              <w:pStyle w:val="CorpsB"/>
                              <w:jc w:val="center"/>
                            </w:pPr>
                            <w:r>
                              <w:rPr>
                                <w:rStyle w:val="Aucun"/>
                                <w:rFonts w:ascii="Arial Black" w:hAnsi="Arial Black"/>
                                <w:color w:val="FFFFFF"/>
                                <w:sz w:val="36"/>
                                <w:szCs w:val="36"/>
                                <w:u w:color="FFFFFF"/>
                              </w:rPr>
                              <w:t xml:space="preserve">La réadaptation en locomotion : une urgence pour le maintien de l’autonomie des personnes en situation de handicap visuel </w:t>
                            </w:r>
                          </w:p>
                        </w:txbxContent>
                      </wps:txbx>
                      <wps:bodyPr wrap="square" lIns="45718" tIns="45718" rIns="45718" bIns="45718" numCol="1" anchor="t">
                        <a:noAutofit/>
                      </wps:bodyPr>
                    </wps:wsp>
                  </a:graphicData>
                </a:graphic>
                <wp14:sizeRelV relativeFrom="margin">
                  <wp14:pctHeight>0</wp14:pctHeight>
                </wp14:sizeRelV>
              </wp:anchor>
            </w:drawing>
          </mc:Choice>
          <mc:Fallback>
            <w:pict>
              <v:shapetype w14:anchorId="0E77F785" id="_x0000_t202" coordsize="21600,21600" o:spt="202" path="m,l,21600r21600,l21600,xe">
                <v:stroke joinstyle="miter"/>
                <v:path gradientshapeok="t" o:connecttype="rect"/>
              </v:shapetype>
              <v:shape id="officeArt object" o:spid="_x0000_s1026" type="#_x0000_t202" alt="Zone de texte 2" style="position:absolute;margin-left:0;margin-top:29.35pt;width:537pt;height:83.45pt;z-index:251661312;visibility:visible;mso-wrap-style:square;mso-height-percent:0;mso-wrap-distance-left:6.3pt;mso-wrap-distance-top:6.3pt;mso-wrap-distance-right:6.3pt;mso-wrap-distance-bottom:6.3pt;mso-position-horizontal:center;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" fillcolor="#7030a0">
                <v:textbox inset="1.2699mm,1.2699mm,1.2699mm,1.2699mm">
                  <w:txbxContent>
                    <w:p w14:paraId="0ECC2B4D" w14:textId="2DD59D19" w:rsidR="006155FA" w:rsidRDefault="006155FA" w:rsidP="006155FA">
                      <w:pPr>
                        <w:pStyle w:val="CorpsB"/>
                        <w:jc w:val="center"/>
                      </w:pPr>
                      <w:r>
                        <w:rPr>
                          <w:rStyle w:val="Aucun"/>
                          <w:rFonts w:ascii="Arial Black" w:hAnsi="Arial Black"/>
                          <w:color w:val="FFFFFF"/>
                          <w:sz w:val="36"/>
                          <w:szCs w:val="36"/>
                          <w:u w:color="FFFFFF"/>
                        </w:rPr>
                        <w:t xml:space="preserve">La réadaptation en locomotion : une urgence pour le maintien de l’autonomie des personnes en situation de handicap visuel </w:t>
                      </w:r>
                    </w:p>
                  </w:txbxContent>
                </v:textbox>
                <w10:wrap type="square" anchorx="margin" anchory="line"/>
              </v:shape>
            </w:pict>
          </mc:Fallback>
        </mc:AlternateContent>
      </w:r>
    </w:p>
    <w:p w14:paraId="29D9F52B" w14:textId="01F61DFF" w:rsidR="00A30959" w:rsidRPr="005735DD" w:rsidRDefault="00A30959" w:rsidP="006155FA">
      <w:pPr>
        <w:pStyle w:val="Titre1"/>
      </w:pPr>
      <w:r w:rsidRPr="005735DD">
        <w:t xml:space="preserve">Introduction </w:t>
      </w:r>
    </w:p>
    <w:p w14:paraId="3CBA3F5B" w14:textId="48405F25" w:rsidR="005A6782" w:rsidRPr="005A6782" w:rsidRDefault="005A6782" w:rsidP="00F0493D">
      <w:pPr>
        <w:spacing w:line="276" w:lineRule="auto"/>
        <w:rPr>
          <w:rFonts w:ascii="Arial" w:hAnsi="Arial" w:cs="Arial"/>
        </w:rPr>
      </w:pPr>
      <w:r w:rsidRPr="005A6782">
        <w:rPr>
          <w:rFonts w:ascii="Arial" w:hAnsi="Arial" w:cs="Arial"/>
        </w:rPr>
        <w:t>La déficience visuelle, qu’elle soit partielle ou totale, affecte profondément la capacité d’orientation et de déplacement des personnes concernées. Que la perte de vision touche la perception des détails, le champ périphérique ou engendre une cécité nocturne comme dans le cas de certaines pathologies rétiniennes, elle entraîne des difficultés majeures à se repérer dans l’espace, à appréhender les reliefs, les couleurs et les contrastes. La capacité de déplacement est la première impactée. Elle génère un isolement progressif, multiplie les risques de chute et de blessure, et favorise un désengagement social et professionnel majeur.</w:t>
      </w:r>
    </w:p>
    <w:p w14:paraId="7C5A7332" w14:textId="77777777" w:rsidR="00636F92" w:rsidRDefault="005A6782" w:rsidP="00F0493D">
      <w:pPr>
        <w:spacing w:line="276" w:lineRule="auto"/>
        <w:rPr>
          <w:rFonts w:ascii="Arial" w:hAnsi="Arial" w:cs="Arial"/>
        </w:rPr>
      </w:pPr>
      <w:r w:rsidRPr="005A6782">
        <w:rPr>
          <w:rFonts w:ascii="Arial" w:hAnsi="Arial" w:cs="Arial"/>
        </w:rPr>
        <w:t>Dans ce contexte, la réadaptation en locomotion constitue une réponse incontournable. Elle s’inscrit désormais dans un cadre plus large de réadaptation pour l’autonomie, qui a pour objectif</w:t>
      </w:r>
      <w:r w:rsidRPr="005A6782">
        <w:rPr>
          <w:rStyle w:val="normaltextrun"/>
          <w:rFonts w:ascii="Arial" w:hAnsi="Arial" w:cs="Arial"/>
        </w:rPr>
        <w:t xml:space="preserve"> l’acquisition, le maintien et l’amélioration de l’autonomie de déplacement chez les personnes atteintes de déficiences visuelles, dans les meilleures conditions de sécurité et de confort</w:t>
      </w:r>
      <w:r w:rsidRPr="005A6782">
        <w:rPr>
          <w:rFonts w:ascii="Arial" w:hAnsi="Arial" w:cs="Arial"/>
        </w:rPr>
        <w:t xml:space="preserve">. Cette réadaptation, dispensée par des instructeurs pour l’autonomie, </w:t>
      </w:r>
      <w:r w:rsidR="007C18F7" w:rsidRPr="005A6782">
        <w:rPr>
          <w:rFonts w:ascii="Arial" w:hAnsi="Arial" w:cs="Arial"/>
        </w:rPr>
        <w:t xml:space="preserve">s'appuie sur </w:t>
      </w:r>
      <w:r w:rsidR="00636F92">
        <w:rPr>
          <w:rFonts w:ascii="Arial" w:hAnsi="Arial" w:cs="Arial"/>
        </w:rPr>
        <w:t xml:space="preserve">plusieurs facteurs : </w:t>
      </w:r>
    </w:p>
    <w:p w14:paraId="2E17724D" w14:textId="4CAE6A22" w:rsidR="00636F92" w:rsidRDefault="00636F92" w:rsidP="00636F92">
      <w:pPr>
        <w:pStyle w:val="Paragraphedeliste"/>
        <w:numPr>
          <w:ilvl w:val="0"/>
          <w:numId w:val="13"/>
        </w:numPr>
        <w:spacing w:line="276" w:lineRule="auto"/>
        <w:rPr>
          <w:rFonts w:ascii="Arial" w:hAnsi="Arial" w:cs="Arial"/>
        </w:rPr>
      </w:pPr>
      <w:r w:rsidRPr="00636F92">
        <w:rPr>
          <w:rFonts w:ascii="Arial" w:hAnsi="Arial" w:cs="Arial"/>
        </w:rPr>
        <w:t>Le</w:t>
      </w:r>
      <w:r w:rsidR="007C18F7" w:rsidRPr="00636F92">
        <w:rPr>
          <w:rFonts w:ascii="Arial" w:hAnsi="Arial" w:cs="Arial"/>
        </w:rPr>
        <w:t xml:space="preserve"> développement des capacités sensorielles et cognitives</w:t>
      </w:r>
      <w:r>
        <w:rPr>
          <w:rFonts w:ascii="Arial" w:hAnsi="Arial" w:cs="Arial"/>
        </w:rPr>
        <w:t xml:space="preserve"> : </w:t>
      </w:r>
      <w:r w:rsidR="007C18F7" w:rsidRPr="00636F92">
        <w:rPr>
          <w:rFonts w:ascii="Arial" w:hAnsi="Arial" w:cs="Arial"/>
        </w:rPr>
        <w:t>audition spatiale, sens kinesthésique, sens de l'orientation, représentation mentale, utilisation de la mémoire, de la réflexion logique</w:t>
      </w:r>
      <w:r>
        <w:rPr>
          <w:rFonts w:ascii="Arial" w:hAnsi="Arial" w:cs="Arial"/>
        </w:rPr>
        <w:t> ;</w:t>
      </w:r>
    </w:p>
    <w:p w14:paraId="4CBF11CB" w14:textId="65DE9F58" w:rsidR="00636F92" w:rsidRDefault="00636F92" w:rsidP="00636F92">
      <w:pPr>
        <w:pStyle w:val="Paragraphedeliste"/>
        <w:numPr>
          <w:ilvl w:val="0"/>
          <w:numId w:val="13"/>
        </w:numPr>
        <w:spacing w:line="276" w:lineRule="auto"/>
        <w:rPr>
          <w:rFonts w:ascii="Arial" w:hAnsi="Arial" w:cs="Arial"/>
        </w:rPr>
      </w:pPr>
      <w:r w:rsidRPr="00636F92">
        <w:rPr>
          <w:rFonts w:ascii="Arial" w:hAnsi="Arial" w:cs="Arial"/>
        </w:rPr>
        <w:t>L’apprentissage</w:t>
      </w:r>
      <w:r w:rsidR="007C18F7" w:rsidRPr="00636F92">
        <w:rPr>
          <w:rFonts w:ascii="Arial" w:hAnsi="Arial" w:cs="Arial"/>
        </w:rPr>
        <w:t xml:space="preserve"> de techniques spécifiques</w:t>
      </w:r>
      <w:r>
        <w:rPr>
          <w:rFonts w:ascii="Arial" w:hAnsi="Arial" w:cs="Arial"/>
        </w:rPr>
        <w:t xml:space="preserve"> : </w:t>
      </w:r>
      <w:r w:rsidR="007C18F7" w:rsidRPr="00636F92">
        <w:rPr>
          <w:rFonts w:ascii="Arial" w:hAnsi="Arial" w:cs="Arial"/>
        </w:rPr>
        <w:t xml:space="preserve">technique de canne, technique d'analyse de carrefours, techniques de traversées, </w:t>
      </w:r>
      <w:r>
        <w:rPr>
          <w:rFonts w:ascii="Arial" w:hAnsi="Arial" w:cs="Arial"/>
        </w:rPr>
        <w:t>utilisation des transports en commun ;</w:t>
      </w:r>
      <w:r w:rsidR="007C18F7" w:rsidRPr="00636F92">
        <w:rPr>
          <w:rFonts w:ascii="Arial" w:hAnsi="Arial" w:cs="Arial"/>
        </w:rPr>
        <w:t xml:space="preserve"> </w:t>
      </w:r>
    </w:p>
    <w:p w14:paraId="2D4B3C4D" w14:textId="2FC89A8A" w:rsidR="005735DD" w:rsidRPr="00636F92" w:rsidRDefault="00636F92" w:rsidP="00636F92">
      <w:pPr>
        <w:pStyle w:val="Paragraphedeliste"/>
        <w:numPr>
          <w:ilvl w:val="0"/>
          <w:numId w:val="13"/>
        </w:numPr>
        <w:spacing w:line="276" w:lineRule="auto"/>
        <w:rPr>
          <w:rStyle w:val="normaltextrun"/>
          <w:rFonts w:ascii="Arial" w:hAnsi="Arial" w:cs="Arial"/>
        </w:rPr>
      </w:pPr>
      <w:r w:rsidRPr="00636F92">
        <w:rPr>
          <w:rFonts w:ascii="Arial" w:hAnsi="Arial" w:cs="Arial"/>
        </w:rPr>
        <w:t>L’appropriation</w:t>
      </w:r>
      <w:r w:rsidR="007C18F7" w:rsidRPr="00636F92">
        <w:rPr>
          <w:rFonts w:ascii="Arial" w:hAnsi="Arial" w:cs="Arial"/>
        </w:rPr>
        <w:t xml:space="preserve"> d'outils</w:t>
      </w:r>
      <w:r w:rsidR="00D46473" w:rsidRPr="00636F92">
        <w:rPr>
          <w:rFonts w:ascii="Arial" w:hAnsi="Arial" w:cs="Arial"/>
        </w:rPr>
        <w:t xml:space="preserve"> et</w:t>
      </w:r>
      <w:r w:rsidR="007C18F7" w:rsidRPr="00636F92">
        <w:rPr>
          <w:rFonts w:ascii="Arial" w:hAnsi="Arial" w:cs="Arial"/>
        </w:rPr>
        <w:t xml:space="preserve"> d'aides spécifiques</w:t>
      </w:r>
      <w:r>
        <w:rPr>
          <w:rFonts w:ascii="Arial" w:hAnsi="Arial" w:cs="Arial"/>
        </w:rPr>
        <w:t xml:space="preserve"> : </w:t>
      </w:r>
      <w:r w:rsidR="007C18F7" w:rsidRPr="00636F92">
        <w:rPr>
          <w:rFonts w:ascii="Arial" w:hAnsi="Arial" w:cs="Arial"/>
        </w:rPr>
        <w:t>la canne blanche, le chien-guide, les applications dédiées, les GPS, l'utilisation de l'intelligence artificielle</w:t>
      </w:r>
      <w:r>
        <w:rPr>
          <w:rFonts w:ascii="Arial" w:hAnsi="Arial" w:cs="Arial"/>
        </w:rPr>
        <w:t xml:space="preserve">… </w:t>
      </w:r>
      <w:r w:rsidR="003624D9" w:rsidRPr="00636F92">
        <w:rPr>
          <w:rStyle w:val="normaltextrun"/>
          <w:rFonts w:ascii="Arial" w:hAnsi="Arial" w:cs="Arial"/>
        </w:rPr>
        <w:t xml:space="preserve"> </w:t>
      </w:r>
    </w:p>
    <w:p w14:paraId="30594297" w14:textId="29D3D46B" w:rsidR="005A6782" w:rsidRPr="0082652D" w:rsidRDefault="005A6782" w:rsidP="00F0493D">
      <w:pPr>
        <w:spacing w:line="276" w:lineRule="auto"/>
        <w:rPr>
          <w:rFonts w:ascii="Arial" w:hAnsi="Arial" w:cs="Arial"/>
        </w:rPr>
      </w:pPr>
      <w:r w:rsidRPr="0082652D">
        <w:rPr>
          <w:rFonts w:ascii="Arial" w:hAnsi="Arial" w:cs="Arial"/>
        </w:rPr>
        <w:t>Or, la pénurie de professionnels formés, associée à des délais d’attente trop longs, constituent un frein majeur à l'accès à cette réadaptation, en particulier pour les enfants, dont la scolarisation est compromise, et les adultes en âge de travailler, dont l’insertion professionnelle est directement menacée.</w:t>
      </w:r>
    </w:p>
    <w:p w14:paraId="45643FE7" w14:textId="3DC918B5" w:rsidR="0082652D" w:rsidRDefault="0082652D" w:rsidP="00F0493D">
      <w:pPr>
        <w:spacing w:line="276" w:lineRule="auto"/>
        <w:rPr>
          <w:rStyle w:val="normaltextrun"/>
          <w:rFonts w:ascii="Arial" w:hAnsi="Arial" w:cs="Arial"/>
        </w:rPr>
      </w:pPr>
      <w:r w:rsidRPr="0082652D">
        <w:rPr>
          <w:rFonts w:ascii="Arial" w:hAnsi="Arial" w:cs="Arial"/>
        </w:rPr>
        <w:lastRenderedPageBreak/>
        <w:t>La situation des personnes âgées est également alarmante : alors que 80 % des personnes aveugles et malvoyantes ont plus de 60 ans, moins de 10 % d’entre eux bénéficient d’une formation à la locomotion</w:t>
      </w:r>
      <w:r w:rsidRPr="00B23794">
        <w:rPr>
          <w:rStyle w:val="Appelnotedebasdep"/>
          <w:rFonts w:ascii="Arial" w:hAnsi="Arial" w:cs="Arial"/>
        </w:rPr>
        <w:footnoteReference w:id="1"/>
      </w:r>
      <w:r w:rsidRPr="007C18F7">
        <w:rPr>
          <w:rStyle w:val="normaltextrun"/>
          <w:rFonts w:ascii="Arial" w:hAnsi="Arial" w:cs="Arial"/>
        </w:rPr>
        <w:t>.</w:t>
      </w:r>
    </w:p>
    <w:p w14:paraId="20A06EB4" w14:textId="66C59DBC" w:rsidR="0082652D" w:rsidRDefault="0082652D" w:rsidP="00F0493D">
      <w:pPr>
        <w:spacing w:line="276" w:lineRule="auto"/>
        <w:rPr>
          <w:rFonts w:ascii="Arial" w:hAnsi="Arial" w:cs="Arial"/>
        </w:rPr>
      </w:pPr>
      <w:r>
        <w:rPr>
          <w:rFonts w:ascii="Arial" w:hAnsi="Arial" w:cs="Arial"/>
        </w:rPr>
        <w:t>La perte de vision revêt également une dimension psychologique à prendre en compte : elle est</w:t>
      </w:r>
      <w:r w:rsidRPr="0082652D">
        <w:rPr>
          <w:rFonts w:ascii="Arial" w:hAnsi="Arial" w:cs="Arial"/>
        </w:rPr>
        <w:t xml:space="preserve"> souvent vécue comme un deuil profond, avec une perte d’autonomie brutale. Les personnes concernées abordent l’apprentissage de la locomotion dans un état de fragilité psychique qui requiert un accompagnement disponible, patient et personnalisé – ce qui suppose des effectifs formés en nombre suffisant.</w:t>
      </w:r>
    </w:p>
    <w:p w14:paraId="47C978D1" w14:textId="6A398A1C" w:rsidR="0082652D" w:rsidRPr="00E0707A" w:rsidRDefault="0082652D" w:rsidP="00F0493D">
      <w:pPr>
        <w:spacing w:line="276" w:lineRule="auto"/>
        <w:rPr>
          <w:rStyle w:val="normaltextrun"/>
          <w:rFonts w:ascii="Arial" w:hAnsi="Arial" w:cs="Arial"/>
        </w:rPr>
      </w:pPr>
      <w:r w:rsidRPr="00E0707A">
        <w:rPr>
          <w:rFonts w:ascii="Arial" w:hAnsi="Arial" w:cs="Arial"/>
        </w:rPr>
        <w:t xml:space="preserve">C’est pour répondre à ces enjeux que le </w:t>
      </w:r>
      <w:r w:rsidR="00535F58">
        <w:rPr>
          <w:rFonts w:ascii="Arial" w:hAnsi="Arial" w:cs="Arial"/>
        </w:rPr>
        <w:t>c</w:t>
      </w:r>
      <w:r w:rsidRPr="00E0707A">
        <w:rPr>
          <w:rFonts w:ascii="Arial" w:hAnsi="Arial" w:cs="Arial"/>
        </w:rPr>
        <w:t>ollectif d</w:t>
      </w:r>
      <w:r w:rsidR="00535F58">
        <w:rPr>
          <w:rFonts w:ascii="Arial" w:hAnsi="Arial" w:cs="Arial"/>
        </w:rPr>
        <w:t>’associations de la</w:t>
      </w:r>
      <w:r w:rsidRPr="00E0707A">
        <w:rPr>
          <w:rFonts w:ascii="Arial" w:hAnsi="Arial" w:cs="Arial"/>
        </w:rPr>
        <w:t xml:space="preserve"> </w:t>
      </w:r>
      <w:r w:rsidR="00502A5D">
        <w:rPr>
          <w:rFonts w:ascii="Arial" w:hAnsi="Arial" w:cs="Arial"/>
        </w:rPr>
        <w:t>CFHV</w:t>
      </w:r>
      <w:r w:rsidRPr="00E0707A">
        <w:rPr>
          <w:rFonts w:ascii="Arial" w:hAnsi="Arial" w:cs="Arial"/>
        </w:rPr>
        <w:t xml:space="preserve"> appelle à une politique publique ambitieuse et structurée, reconnaissant l’instruction pour l’autonomie comme un levier fondamental </w:t>
      </w:r>
      <w:r w:rsidR="00E0707A" w:rsidRPr="00E0707A">
        <w:rPr>
          <w:rFonts w:ascii="Arial" w:hAnsi="Arial" w:cs="Arial"/>
        </w:rPr>
        <w:t xml:space="preserve">de </w:t>
      </w:r>
      <w:r w:rsidR="00535F58">
        <w:rPr>
          <w:rFonts w:ascii="Arial" w:hAnsi="Arial" w:cs="Arial"/>
        </w:rPr>
        <w:t>l’accès</w:t>
      </w:r>
      <w:r w:rsidR="00E0707A" w:rsidRPr="00E0707A">
        <w:rPr>
          <w:rFonts w:ascii="Arial" w:hAnsi="Arial" w:cs="Arial"/>
        </w:rPr>
        <w:t xml:space="preserve"> des personnes aveugles et malvoyantes à la société. </w:t>
      </w:r>
    </w:p>
    <w:p w14:paraId="5A2C1740" w14:textId="5F0EF8F1" w:rsidR="00A30959" w:rsidRDefault="003C3E7F" w:rsidP="00373393">
      <w:pPr>
        <w:pStyle w:val="Titre1"/>
      </w:pPr>
      <w:r>
        <w:t xml:space="preserve">I/ </w:t>
      </w:r>
      <w:r w:rsidR="00A30959" w:rsidRPr="005735DD">
        <w:t>Améliorer l’accès à la prise en charge en réadaptation en locomotion</w:t>
      </w:r>
    </w:p>
    <w:p w14:paraId="62113960" w14:textId="194295F3" w:rsidR="00181324" w:rsidRDefault="00DB232F" w:rsidP="00F0493D">
      <w:pPr>
        <w:pStyle w:val="paragraph"/>
        <w:shd w:val="clear" w:color="auto" w:fill="FFFFFF"/>
        <w:spacing w:before="0" w:beforeAutospacing="0" w:after="0" w:afterAutospacing="0" w:line="276" w:lineRule="auto"/>
        <w:textAlignment w:val="baseline"/>
        <w:rPr>
          <w:rStyle w:val="normaltextrun"/>
          <w:rFonts w:ascii="Arial" w:eastAsiaTheme="majorEastAsia" w:hAnsi="Arial" w:cs="Arial"/>
        </w:rPr>
      </w:pPr>
      <w:r>
        <w:rPr>
          <w:rStyle w:val="normaltextrun"/>
          <w:rFonts w:ascii="Arial" w:eastAsiaTheme="majorEastAsia" w:hAnsi="Arial" w:cs="Arial"/>
        </w:rPr>
        <w:t xml:space="preserve">La prise en charge en réadaptation en locomotion est </w:t>
      </w:r>
      <w:r w:rsidR="00D22632">
        <w:rPr>
          <w:rStyle w:val="normaltextrun"/>
          <w:rFonts w:ascii="Arial" w:eastAsiaTheme="majorEastAsia" w:hAnsi="Arial" w:cs="Arial"/>
        </w:rPr>
        <w:t>restreinte et</w:t>
      </w:r>
      <w:r>
        <w:rPr>
          <w:rStyle w:val="normaltextrun"/>
          <w:rFonts w:ascii="Arial" w:eastAsiaTheme="majorEastAsia" w:hAnsi="Arial" w:cs="Arial"/>
        </w:rPr>
        <w:t xml:space="preserve"> très mal répartie sur le territoire. </w:t>
      </w:r>
      <w:r w:rsidRPr="00373393">
        <w:rPr>
          <w:rStyle w:val="normaltextrun"/>
          <w:rFonts w:ascii="Arial" w:eastAsiaTheme="majorEastAsia" w:hAnsi="Arial" w:cs="Arial"/>
        </w:rPr>
        <w:t xml:space="preserve">Actuellement, </w:t>
      </w:r>
      <w:r w:rsidRPr="00373393">
        <w:rPr>
          <w:rStyle w:val="AucunA"/>
          <w:rFonts w:ascii="Arial" w:eastAsiaTheme="majorEastAsia" w:hAnsi="Arial" w:cs="Arial"/>
        </w:rPr>
        <w:t>seulement 43 départements proposent une prise en charge en réadaptation pour les personnes adultes en situation de handicap visuel, sur le plan sanitaire ou médico-social : 13 départements proposent des SMR</w:t>
      </w:r>
      <w:r w:rsidR="005F35D2">
        <w:rPr>
          <w:rStyle w:val="AucunA"/>
          <w:rFonts w:ascii="Arial" w:eastAsiaTheme="majorEastAsia" w:hAnsi="Arial" w:cs="Arial"/>
        </w:rPr>
        <w:t>-</w:t>
      </w:r>
      <w:r w:rsidR="00D22632">
        <w:rPr>
          <w:rStyle w:val="AucunA"/>
          <w:rFonts w:ascii="Arial" w:eastAsiaTheme="majorEastAsia" w:hAnsi="Arial" w:cs="Arial"/>
        </w:rPr>
        <w:t>DV</w:t>
      </w:r>
      <w:r>
        <w:rPr>
          <w:rStyle w:val="Appelnotedebasdep"/>
          <w:rFonts w:ascii="Arial" w:eastAsiaTheme="majorEastAsia" w:hAnsi="Arial" w:cs="Arial"/>
        </w:rPr>
        <w:footnoteReference w:id="2"/>
      </w:r>
      <w:r w:rsidRPr="00373393">
        <w:rPr>
          <w:rStyle w:val="AucunA"/>
          <w:rFonts w:ascii="Arial" w:eastAsiaTheme="majorEastAsia" w:hAnsi="Arial" w:cs="Arial"/>
        </w:rPr>
        <w:t xml:space="preserve"> et 30 </w:t>
      </w:r>
      <w:r w:rsidR="00D22632">
        <w:rPr>
          <w:rStyle w:val="AucunA"/>
          <w:rFonts w:ascii="Arial" w:eastAsiaTheme="majorEastAsia" w:hAnsi="Arial" w:cs="Arial"/>
        </w:rPr>
        <w:t xml:space="preserve">départements </w:t>
      </w:r>
      <w:r w:rsidRPr="00373393">
        <w:rPr>
          <w:rStyle w:val="AucunA"/>
          <w:rFonts w:ascii="Arial" w:eastAsiaTheme="majorEastAsia" w:hAnsi="Arial" w:cs="Arial"/>
        </w:rPr>
        <w:t>proposent des soins à domicile. En outre-mer, il n’y a qu’un seul établissement SMR, à la Réunion.</w:t>
      </w:r>
      <w:bookmarkStart w:id="0" w:name="_Hlk169097973"/>
      <w:r w:rsidR="00181324">
        <w:rPr>
          <w:rStyle w:val="AucunA"/>
          <w:rFonts w:ascii="Arial" w:eastAsiaTheme="majorEastAsia" w:hAnsi="Arial" w:cs="Arial"/>
        </w:rPr>
        <w:t xml:space="preserve"> </w:t>
      </w:r>
      <w:r w:rsidR="005F35D2">
        <w:rPr>
          <w:rStyle w:val="normaltextrun"/>
          <w:rFonts w:ascii="Arial" w:eastAsiaTheme="majorEastAsia" w:hAnsi="Arial" w:cs="Arial"/>
        </w:rPr>
        <w:t>Ce maillage insuffisant</w:t>
      </w:r>
      <w:r w:rsidR="00181324">
        <w:rPr>
          <w:rStyle w:val="normaltextrun"/>
          <w:rFonts w:ascii="Arial" w:eastAsiaTheme="majorEastAsia" w:hAnsi="Arial" w:cs="Arial"/>
        </w:rPr>
        <w:t xml:space="preserve"> entraîne des</w:t>
      </w:r>
      <w:r w:rsidR="00747D85" w:rsidRPr="00373393">
        <w:rPr>
          <w:rStyle w:val="normaltextrun"/>
          <w:rFonts w:ascii="Arial" w:eastAsiaTheme="majorEastAsia" w:hAnsi="Arial" w:cs="Arial"/>
        </w:rPr>
        <w:t xml:space="preserve"> </w:t>
      </w:r>
      <w:r w:rsidR="006155FA" w:rsidRPr="00373393">
        <w:rPr>
          <w:rStyle w:val="normaltextrun"/>
          <w:rFonts w:ascii="Arial" w:eastAsiaTheme="majorEastAsia" w:hAnsi="Arial" w:cs="Arial"/>
        </w:rPr>
        <w:t xml:space="preserve">délais </w:t>
      </w:r>
      <w:r w:rsidR="00A04B19" w:rsidRPr="00373393">
        <w:rPr>
          <w:rStyle w:val="normaltextrun"/>
          <w:rFonts w:ascii="Arial" w:eastAsiaTheme="majorEastAsia" w:hAnsi="Arial" w:cs="Arial"/>
        </w:rPr>
        <w:t xml:space="preserve">d’attente </w:t>
      </w:r>
      <w:r w:rsidR="005F35D2">
        <w:rPr>
          <w:rStyle w:val="normaltextrun"/>
          <w:rFonts w:ascii="Arial" w:eastAsiaTheme="majorEastAsia" w:hAnsi="Arial" w:cs="Arial"/>
        </w:rPr>
        <w:t>considérables</w:t>
      </w:r>
      <w:r w:rsidR="00A04B19" w:rsidRPr="00373393">
        <w:rPr>
          <w:rStyle w:val="normaltextrun"/>
          <w:rFonts w:ascii="Arial" w:eastAsiaTheme="majorEastAsia" w:hAnsi="Arial" w:cs="Arial"/>
        </w:rPr>
        <w:t xml:space="preserve">. </w:t>
      </w:r>
      <w:r w:rsidR="006155FA" w:rsidRPr="00373393">
        <w:rPr>
          <w:rStyle w:val="normaltextrun"/>
          <w:rFonts w:ascii="Arial" w:eastAsiaTheme="majorEastAsia" w:hAnsi="Arial" w:cs="Arial"/>
        </w:rPr>
        <w:t>P</w:t>
      </w:r>
      <w:r w:rsidR="00181324">
        <w:rPr>
          <w:rStyle w:val="normaltextrun"/>
          <w:rFonts w:ascii="Arial" w:eastAsiaTheme="majorEastAsia" w:hAnsi="Arial" w:cs="Arial"/>
        </w:rPr>
        <w:t>a</w:t>
      </w:r>
      <w:r w:rsidR="006155FA" w:rsidRPr="00373393">
        <w:rPr>
          <w:rStyle w:val="normaltextrun"/>
          <w:rFonts w:ascii="Arial" w:eastAsiaTheme="majorEastAsia" w:hAnsi="Arial" w:cs="Arial"/>
        </w:rPr>
        <w:t xml:space="preserve">r exemple, </w:t>
      </w:r>
      <w:r w:rsidR="00A04B19" w:rsidRPr="00373393">
        <w:rPr>
          <w:rStyle w:val="normaltextrun"/>
          <w:rFonts w:ascii="Arial" w:eastAsiaTheme="majorEastAsia" w:hAnsi="Arial" w:cs="Arial"/>
        </w:rPr>
        <w:t xml:space="preserve">il y a </w:t>
      </w:r>
      <w:r w:rsidR="006155FA" w:rsidRPr="00373393">
        <w:rPr>
          <w:rStyle w:val="normaltextrun"/>
          <w:rFonts w:ascii="Arial" w:eastAsiaTheme="majorEastAsia" w:hAnsi="Arial" w:cs="Arial"/>
        </w:rPr>
        <w:t xml:space="preserve">1 an </w:t>
      </w:r>
      <w:r w:rsidR="00A04B19" w:rsidRPr="00373393">
        <w:rPr>
          <w:rStyle w:val="normaltextrun"/>
          <w:rFonts w:ascii="Arial" w:eastAsiaTheme="majorEastAsia" w:hAnsi="Arial" w:cs="Arial"/>
        </w:rPr>
        <w:t xml:space="preserve">d’attente </w:t>
      </w:r>
      <w:r w:rsidR="006155FA" w:rsidRPr="00373393">
        <w:rPr>
          <w:rStyle w:val="normaltextrun"/>
          <w:rFonts w:ascii="Arial" w:eastAsiaTheme="majorEastAsia" w:hAnsi="Arial" w:cs="Arial"/>
        </w:rPr>
        <w:t xml:space="preserve">pour accéder au </w:t>
      </w:r>
      <w:r w:rsidR="00502A5D">
        <w:rPr>
          <w:rStyle w:val="normaltextrun"/>
          <w:rFonts w:ascii="Arial" w:eastAsiaTheme="majorEastAsia" w:hAnsi="Arial" w:cs="Arial"/>
        </w:rPr>
        <w:t xml:space="preserve">Centre de soins médicaux et de réadaptation de l’Hôpital </w:t>
      </w:r>
      <w:r w:rsidR="006155FA" w:rsidRPr="00373393">
        <w:rPr>
          <w:rStyle w:val="normaltextrun"/>
          <w:rFonts w:ascii="Arial" w:eastAsiaTheme="majorEastAsia" w:hAnsi="Arial" w:cs="Arial"/>
        </w:rPr>
        <w:t xml:space="preserve">Sainte Marie à Paris. </w:t>
      </w:r>
    </w:p>
    <w:p w14:paraId="3DBABDB4" w14:textId="77777777" w:rsidR="00181324" w:rsidRDefault="00181324" w:rsidP="00F0493D">
      <w:pPr>
        <w:pStyle w:val="paragraph"/>
        <w:shd w:val="clear" w:color="auto" w:fill="FFFFFF"/>
        <w:spacing w:before="0" w:beforeAutospacing="0" w:after="0" w:afterAutospacing="0" w:line="276" w:lineRule="auto"/>
        <w:textAlignment w:val="baseline"/>
        <w:rPr>
          <w:rStyle w:val="normaltextrun"/>
          <w:rFonts w:ascii="Arial" w:eastAsiaTheme="majorEastAsia" w:hAnsi="Arial" w:cs="Arial"/>
        </w:rPr>
      </w:pPr>
    </w:p>
    <w:p w14:paraId="3E6A21FA" w14:textId="68B1C0ED" w:rsidR="00181324" w:rsidRDefault="00181324" w:rsidP="00F0493D">
      <w:pPr>
        <w:pStyle w:val="paragraph"/>
        <w:shd w:val="clear" w:color="auto" w:fill="FFFFFF"/>
        <w:spacing w:before="0" w:beforeAutospacing="0" w:after="0" w:afterAutospacing="0" w:line="276" w:lineRule="auto"/>
        <w:textAlignment w:val="baseline"/>
        <w:rPr>
          <w:rFonts w:ascii="Arial" w:eastAsiaTheme="majorEastAsia" w:hAnsi="Arial" w:cs="Arial"/>
        </w:rPr>
      </w:pPr>
      <w:r w:rsidRPr="00181324">
        <w:rPr>
          <w:rStyle w:val="normaltextrun"/>
          <w:rFonts w:ascii="Arial" w:eastAsiaTheme="majorEastAsia" w:hAnsi="Arial" w:cs="Arial"/>
        </w:rPr>
        <w:t xml:space="preserve">Par ailleurs, </w:t>
      </w:r>
      <w:r w:rsidRPr="00181324">
        <w:rPr>
          <w:rFonts w:ascii="Arial" w:eastAsiaTheme="majorEastAsia" w:hAnsi="Arial" w:cs="Arial"/>
        </w:rPr>
        <w:t xml:space="preserve">l’accès à ces </w:t>
      </w:r>
      <w:r w:rsidR="005F35D2">
        <w:rPr>
          <w:rFonts w:ascii="Arial" w:eastAsiaTheme="majorEastAsia" w:hAnsi="Arial" w:cs="Arial"/>
        </w:rPr>
        <w:t>services</w:t>
      </w:r>
      <w:r w:rsidRPr="00181324">
        <w:rPr>
          <w:rFonts w:ascii="Arial" w:eastAsiaTheme="majorEastAsia" w:hAnsi="Arial" w:cs="Arial"/>
        </w:rPr>
        <w:t xml:space="preserve"> est conditionné à une orientation par la Maison Départementale pour les Personnes Handicapées (MDPH). Or, les personnes dont le handicap visuel est reconnu après 60 ans sont exclues de ces dispositifs, </w:t>
      </w:r>
      <w:r w:rsidR="005F35D2">
        <w:rPr>
          <w:rFonts w:ascii="Arial" w:eastAsiaTheme="majorEastAsia" w:hAnsi="Arial" w:cs="Arial"/>
        </w:rPr>
        <w:t>en raison d’un cadre légal inadapté</w:t>
      </w:r>
      <w:r w:rsidRPr="00181324">
        <w:rPr>
          <w:rFonts w:ascii="Arial" w:eastAsiaTheme="majorEastAsia" w:hAnsi="Arial" w:cs="Arial"/>
        </w:rPr>
        <w:t xml:space="preserve">. Cela contribue à </w:t>
      </w:r>
      <w:r w:rsidR="005F35D2">
        <w:rPr>
          <w:rFonts w:ascii="Arial" w:eastAsiaTheme="majorEastAsia" w:hAnsi="Arial" w:cs="Arial"/>
        </w:rPr>
        <w:t>aggraver</w:t>
      </w:r>
      <w:r w:rsidRPr="00181324">
        <w:rPr>
          <w:rFonts w:ascii="Arial" w:eastAsiaTheme="majorEastAsia" w:hAnsi="Arial" w:cs="Arial"/>
        </w:rPr>
        <w:t xml:space="preserve"> leur isolement et à retarder, voire empêcher, toute forme de réadaptation.</w:t>
      </w:r>
    </w:p>
    <w:bookmarkEnd w:id="0"/>
    <w:p w14:paraId="045C1F64" w14:textId="77777777" w:rsidR="006155FA" w:rsidRDefault="006155FA" w:rsidP="00F0493D">
      <w:pPr>
        <w:pStyle w:val="CorpsB"/>
        <w:spacing w:line="276" w:lineRule="auto"/>
        <w:jc w:val="both"/>
        <w:rPr>
          <w:rStyle w:val="AucunA"/>
        </w:rPr>
      </w:pPr>
    </w:p>
    <w:p w14:paraId="5D2CFF3E" w14:textId="77777777" w:rsidR="006155FA" w:rsidRPr="002F5752" w:rsidRDefault="006155FA" w:rsidP="00F0493D">
      <w:pPr>
        <w:pStyle w:val="CorpsB"/>
        <w:spacing w:line="276" w:lineRule="auto"/>
        <w:rPr>
          <w:rStyle w:val="Aucun"/>
          <w:b/>
          <w:bCs/>
          <w:color w:val="auto"/>
          <w:u w:val="single"/>
        </w:rPr>
      </w:pPr>
      <w:r w:rsidRPr="002F5752">
        <w:rPr>
          <w:rStyle w:val="Aucun"/>
          <w:b/>
          <w:bCs/>
          <w:color w:val="auto"/>
          <w:u w:val="single"/>
        </w:rPr>
        <w:t>Nos propositions :</w:t>
      </w:r>
    </w:p>
    <w:p w14:paraId="7F26A854" w14:textId="16DD84C4" w:rsidR="002F5752" w:rsidRPr="002F5752" w:rsidRDefault="002F5752" w:rsidP="00F0493D">
      <w:pPr>
        <w:pStyle w:val="CorpsB"/>
        <w:numPr>
          <w:ilvl w:val="0"/>
          <w:numId w:val="4"/>
        </w:numPr>
        <w:spacing w:line="276" w:lineRule="auto"/>
        <w:rPr>
          <w:rStyle w:val="AucunA"/>
          <w:b/>
          <w:bCs/>
          <w:color w:val="auto"/>
        </w:rPr>
      </w:pPr>
      <w:r w:rsidRPr="002F5752">
        <w:rPr>
          <w:rStyle w:val="AucunA"/>
          <w:b/>
          <w:bCs/>
          <w:color w:val="auto"/>
        </w:rPr>
        <w:t>Prendre en compte les difficultés de déplacement et leur impact sur la santé physique et psychique des personnes non voyantes et malvoyantes</w:t>
      </w:r>
      <w:r>
        <w:rPr>
          <w:rStyle w:val="AucunA"/>
          <w:b/>
          <w:bCs/>
          <w:color w:val="auto"/>
        </w:rPr>
        <w:t>,</w:t>
      </w:r>
      <w:r w:rsidRPr="002F5752">
        <w:rPr>
          <w:rStyle w:val="AucunA"/>
          <w:b/>
          <w:bCs/>
          <w:color w:val="auto"/>
        </w:rPr>
        <w:t xml:space="preserve"> en favorisant l’accès à la rééducation en locomotion.</w:t>
      </w:r>
    </w:p>
    <w:p w14:paraId="56C830C6" w14:textId="24B1C545" w:rsidR="006155FA" w:rsidRPr="004B7415" w:rsidRDefault="006155FA" w:rsidP="00F0493D">
      <w:pPr>
        <w:pStyle w:val="CorpsB"/>
        <w:numPr>
          <w:ilvl w:val="0"/>
          <w:numId w:val="4"/>
        </w:numPr>
        <w:spacing w:line="276" w:lineRule="auto"/>
        <w:rPr>
          <w:b/>
          <w:bCs/>
        </w:rPr>
      </w:pPr>
      <w:r w:rsidRPr="002F5752">
        <w:rPr>
          <w:rStyle w:val="AucunA"/>
          <w:b/>
          <w:bCs/>
          <w:color w:val="auto"/>
        </w:rPr>
        <w:t xml:space="preserve">Renforcer l’offre de soins spécifique à la déficience </w:t>
      </w:r>
      <w:r>
        <w:rPr>
          <w:rStyle w:val="AucunA"/>
          <w:b/>
          <w:bCs/>
        </w:rPr>
        <w:t xml:space="preserve">visuelle en proposant dans chaque département au moins un service médico-social </w:t>
      </w:r>
      <w:r>
        <w:rPr>
          <w:rStyle w:val="AucunA"/>
          <w:b/>
          <w:bCs/>
        </w:rPr>
        <w:lastRenderedPageBreak/>
        <w:t>de réadaptation à domicile et dans chaque région, au moins un établissement de réadaptation sanitaire prenant en charge le handicap visuel.</w:t>
      </w:r>
    </w:p>
    <w:p w14:paraId="2658D620" w14:textId="399F4390" w:rsidR="00373393" w:rsidRPr="00D8113F" w:rsidRDefault="003C3E7F" w:rsidP="00D8113F">
      <w:pPr>
        <w:pStyle w:val="Titre1"/>
        <w:rPr>
          <w:rStyle w:val="normaltextrun"/>
          <w:rFonts w:asciiTheme="majorHAnsi" w:hAnsiTheme="majorHAnsi"/>
          <w:color w:val="0F4761" w:themeColor="accent1" w:themeShade="BF"/>
        </w:rPr>
      </w:pPr>
      <w:r>
        <w:t xml:space="preserve">II / </w:t>
      </w:r>
      <w:r w:rsidR="005F35D2">
        <w:t>Structurer et rendre visible le</w:t>
      </w:r>
      <w:r w:rsidR="00A30959" w:rsidRPr="005735DD">
        <w:t xml:space="preserve"> métier d’</w:t>
      </w:r>
      <w:r w:rsidR="007C18F7">
        <w:t>instructeur pour l’autonomie</w:t>
      </w:r>
      <w:r w:rsidR="00A30959" w:rsidRPr="005735DD">
        <w:t xml:space="preserve"> </w:t>
      </w:r>
    </w:p>
    <w:p w14:paraId="656A7AFA" w14:textId="7D7FDCCE" w:rsidR="007979C2" w:rsidRPr="007979C2" w:rsidRDefault="007979C2" w:rsidP="00F0493D">
      <w:pPr>
        <w:pStyle w:val="paragraph"/>
        <w:shd w:val="clear" w:color="auto" w:fill="FFFFFF"/>
        <w:spacing w:after="0" w:line="276" w:lineRule="auto"/>
        <w:textAlignment w:val="baseline"/>
        <w:rPr>
          <w:rFonts w:ascii="Arial" w:eastAsiaTheme="majorEastAsia" w:hAnsi="Arial" w:cs="Arial"/>
        </w:rPr>
      </w:pPr>
      <w:r w:rsidRPr="007979C2">
        <w:rPr>
          <w:rFonts w:ascii="Arial" w:eastAsiaTheme="majorEastAsia" w:hAnsi="Arial" w:cs="Arial"/>
        </w:rPr>
        <w:t xml:space="preserve">Le nombre de personnes en situation de handicap visuel </w:t>
      </w:r>
      <w:r w:rsidRPr="007979C2">
        <w:rPr>
          <w:rStyle w:val="normaltextrun"/>
          <w:rFonts w:ascii="Arial" w:eastAsiaTheme="majorEastAsia" w:hAnsi="Arial" w:cs="Arial"/>
        </w:rPr>
        <w:t>ne cesse d’augmenter avec le</w:t>
      </w:r>
      <w:r w:rsidRPr="007979C2">
        <w:rPr>
          <w:rFonts w:ascii="Arial" w:eastAsiaTheme="majorEastAsia" w:hAnsi="Arial" w:cs="Arial"/>
        </w:rPr>
        <w:t xml:space="preserve"> vieillissement de la population française. </w:t>
      </w:r>
      <w:r w:rsidR="005F35D2">
        <w:rPr>
          <w:rFonts w:ascii="Arial" w:eastAsiaTheme="majorEastAsia" w:hAnsi="Arial" w:cs="Arial"/>
        </w:rPr>
        <w:t>Cette situation s’inscrit dans une dynamique mondiale</w:t>
      </w:r>
      <w:r w:rsidRPr="007979C2">
        <w:rPr>
          <w:rFonts w:ascii="Arial" w:eastAsiaTheme="majorEastAsia" w:hAnsi="Arial" w:cs="Arial"/>
        </w:rPr>
        <w:t xml:space="preserve"> : selon le Rapport mondial sur la vision publié par l’Organisation mondiale de la Santé (OMS) </w:t>
      </w:r>
      <w:r w:rsidR="00087298">
        <w:rPr>
          <w:rFonts w:ascii="Arial" w:eastAsiaTheme="majorEastAsia" w:hAnsi="Arial" w:cs="Arial"/>
        </w:rPr>
        <w:t>en</w:t>
      </w:r>
      <w:r w:rsidRPr="007979C2">
        <w:rPr>
          <w:rFonts w:ascii="Arial" w:eastAsiaTheme="majorEastAsia" w:hAnsi="Arial" w:cs="Arial"/>
        </w:rPr>
        <w:t xml:space="preserve"> 2019, le nombre de personnes atteintes de déficiences visuelles pourrait tripler d’ici 2050. Cette hausse est directement liée à l’évolution des modes de vie, à l’allongement de l’espérance de vie et à la croissance démographique globale.</w:t>
      </w:r>
    </w:p>
    <w:p w14:paraId="487E44A7" w14:textId="50534ED7" w:rsidR="00087298" w:rsidRPr="00087298" w:rsidRDefault="007979C2" w:rsidP="00F0493D">
      <w:pPr>
        <w:pStyle w:val="paragraph"/>
        <w:shd w:val="clear" w:color="auto" w:fill="FFFFFF"/>
        <w:spacing w:after="0" w:line="276" w:lineRule="auto"/>
        <w:textAlignment w:val="baseline"/>
        <w:rPr>
          <w:rFonts w:ascii="Arial" w:hAnsi="Arial" w:cs="Arial"/>
          <w:color w:val="000000"/>
          <w:shd w:val="clear" w:color="auto" w:fill="FFFFFF"/>
        </w:rPr>
      </w:pPr>
      <w:r w:rsidRPr="007979C2">
        <w:rPr>
          <w:rFonts w:ascii="Arial" w:eastAsiaTheme="majorEastAsia" w:hAnsi="Arial" w:cs="Arial"/>
        </w:rPr>
        <w:t xml:space="preserve">Face à cette </w:t>
      </w:r>
      <w:r w:rsidR="005F35D2">
        <w:rPr>
          <w:rFonts w:ascii="Arial" w:eastAsiaTheme="majorEastAsia" w:hAnsi="Arial" w:cs="Arial"/>
        </w:rPr>
        <w:t>réalité</w:t>
      </w:r>
      <w:r w:rsidRPr="007979C2">
        <w:rPr>
          <w:rFonts w:ascii="Arial" w:eastAsiaTheme="majorEastAsia" w:hAnsi="Arial" w:cs="Arial"/>
        </w:rPr>
        <w:t xml:space="preserve">, la France ne dispose pas aujourd’hui d’un nombre suffisant d’instructeurs pour l’autonomie </w:t>
      </w:r>
      <w:r w:rsidR="005F35D2">
        <w:rPr>
          <w:rFonts w:ascii="Arial" w:eastAsiaTheme="majorEastAsia" w:hAnsi="Arial" w:cs="Arial"/>
        </w:rPr>
        <w:t>pour</w:t>
      </w:r>
      <w:r w:rsidRPr="007979C2">
        <w:rPr>
          <w:rFonts w:ascii="Arial" w:eastAsiaTheme="majorEastAsia" w:hAnsi="Arial" w:cs="Arial"/>
        </w:rPr>
        <w:t xml:space="preserve"> couvrir les besoins, déjà très importants, des personnes déficientes visuelles. Il </w:t>
      </w:r>
      <w:r w:rsidR="005F35D2">
        <w:rPr>
          <w:rFonts w:ascii="Arial" w:eastAsiaTheme="majorEastAsia" w:hAnsi="Arial" w:cs="Arial"/>
        </w:rPr>
        <w:t>est</w:t>
      </w:r>
      <w:r w:rsidRPr="007979C2">
        <w:rPr>
          <w:rFonts w:ascii="Arial" w:eastAsiaTheme="majorEastAsia" w:hAnsi="Arial" w:cs="Arial"/>
        </w:rPr>
        <w:t xml:space="preserve"> </w:t>
      </w:r>
      <w:r w:rsidR="00087298">
        <w:rPr>
          <w:rFonts w:ascii="Arial" w:eastAsiaTheme="majorEastAsia" w:hAnsi="Arial" w:cs="Arial"/>
        </w:rPr>
        <w:t xml:space="preserve">donc </w:t>
      </w:r>
      <w:r w:rsidRPr="007979C2">
        <w:rPr>
          <w:rFonts w:ascii="Arial" w:eastAsiaTheme="majorEastAsia" w:hAnsi="Arial" w:cs="Arial"/>
        </w:rPr>
        <w:t>urgent de structurer la profession d’instructeur pour l’autonomie des personnes déficientes visuelles (IADV). Ce métier est inscrit au Répertoire national des certifications professionnelles (RNCP) et son titre est délivré par le ministère des Solidarités et de la Santé. Trois centres de formation</w:t>
      </w:r>
      <w:r w:rsidR="00087298">
        <w:rPr>
          <w:rFonts w:ascii="Arial" w:eastAsiaTheme="majorEastAsia" w:hAnsi="Arial" w:cs="Arial"/>
        </w:rPr>
        <w:t xml:space="preserve">, </w:t>
      </w:r>
      <w:r w:rsidRPr="007979C2">
        <w:rPr>
          <w:rFonts w:ascii="Arial" w:eastAsiaTheme="majorEastAsia" w:hAnsi="Arial" w:cs="Arial"/>
        </w:rPr>
        <w:t>situés à Paris, Lyon et Bordeaux</w:t>
      </w:r>
      <w:r w:rsidR="00087298">
        <w:rPr>
          <w:rFonts w:ascii="Arial" w:eastAsiaTheme="majorEastAsia" w:hAnsi="Arial" w:cs="Arial"/>
        </w:rPr>
        <w:t xml:space="preserve">, </w:t>
      </w:r>
      <w:r w:rsidRPr="007979C2">
        <w:rPr>
          <w:rFonts w:ascii="Arial" w:eastAsiaTheme="majorEastAsia" w:hAnsi="Arial" w:cs="Arial"/>
        </w:rPr>
        <w:t>sont actuellement habilités à former ces professionnels, sous l’égide de la Fédération des Aveugles et Amblyopes de France. En 2024, plus de 80 personnes ont obtenu ce titre</w:t>
      </w:r>
      <w:r w:rsidR="005F35D2">
        <w:rPr>
          <w:rFonts w:ascii="Arial" w:eastAsiaTheme="majorEastAsia" w:hAnsi="Arial" w:cs="Arial"/>
        </w:rPr>
        <w:t xml:space="preserve"> à l’issue d’un </w:t>
      </w:r>
      <w:r w:rsidRPr="007979C2">
        <w:rPr>
          <w:rFonts w:ascii="Arial" w:hAnsi="Arial" w:cs="Arial"/>
          <w:shd w:val="clear" w:color="auto" w:fill="FFFFFF"/>
        </w:rPr>
        <w:t xml:space="preserve">parcours </w:t>
      </w:r>
      <w:r w:rsidR="005F35D2">
        <w:rPr>
          <w:rFonts w:ascii="Arial" w:hAnsi="Arial" w:cs="Arial"/>
          <w:shd w:val="clear" w:color="auto" w:fill="FFFFFF"/>
        </w:rPr>
        <w:t xml:space="preserve">exigeant de </w:t>
      </w:r>
      <w:r w:rsidRPr="007979C2">
        <w:rPr>
          <w:rFonts w:ascii="Arial" w:hAnsi="Arial" w:cs="Arial"/>
          <w:shd w:val="clear" w:color="auto" w:fill="FFFFFF"/>
        </w:rPr>
        <w:t>10 mois</w:t>
      </w:r>
      <w:r w:rsidRPr="007979C2">
        <w:rPr>
          <w:rStyle w:val="Appelnotedebasdep"/>
          <w:rFonts w:ascii="Arial" w:hAnsi="Arial" w:cs="Arial"/>
          <w:shd w:val="clear" w:color="auto" w:fill="FFFFFF"/>
        </w:rPr>
        <w:footnoteReference w:id="3"/>
      </w:r>
      <w:r w:rsidRPr="007979C2">
        <w:rPr>
          <w:rFonts w:ascii="Arial" w:hAnsi="Arial" w:cs="Arial"/>
          <w:color w:val="000000"/>
          <w:shd w:val="clear" w:color="auto" w:fill="FFFFFF"/>
        </w:rPr>
        <w:t xml:space="preserve">. </w:t>
      </w:r>
      <w:r w:rsidRPr="007979C2">
        <w:rPr>
          <w:rFonts w:ascii="Arial" w:eastAsiaTheme="majorEastAsia" w:hAnsi="Arial" w:cs="Arial"/>
        </w:rPr>
        <w:t xml:space="preserve">La formation est </w:t>
      </w:r>
      <w:r w:rsidR="00535F58">
        <w:rPr>
          <w:rFonts w:ascii="Arial" w:eastAsiaTheme="majorEastAsia" w:hAnsi="Arial" w:cs="Arial"/>
        </w:rPr>
        <w:t>accessible</w:t>
      </w:r>
      <w:r w:rsidRPr="007979C2">
        <w:rPr>
          <w:rFonts w:ascii="Arial" w:eastAsiaTheme="majorEastAsia" w:hAnsi="Arial" w:cs="Arial"/>
        </w:rPr>
        <w:t xml:space="preserve"> aux professionnels issus du secteur paramédical et social</w:t>
      </w:r>
      <w:r w:rsidR="00087298">
        <w:rPr>
          <w:rFonts w:ascii="Arial" w:eastAsiaTheme="majorEastAsia" w:hAnsi="Arial" w:cs="Arial"/>
        </w:rPr>
        <w:t xml:space="preserve"> </w:t>
      </w:r>
      <w:r w:rsidRPr="007979C2">
        <w:rPr>
          <w:rFonts w:ascii="Arial" w:eastAsiaTheme="majorEastAsia" w:hAnsi="Arial" w:cs="Arial"/>
        </w:rPr>
        <w:t xml:space="preserve">(ergothérapeutes, orthoptistes, infirmiers, éducateurs spécialisés, etc.). Cependant, tous ne disposent pas d’un statut de professionnel de santé, ce qui </w:t>
      </w:r>
      <w:r w:rsidR="00087298">
        <w:rPr>
          <w:rFonts w:ascii="Arial" w:eastAsiaTheme="majorEastAsia" w:hAnsi="Arial" w:cs="Arial"/>
        </w:rPr>
        <w:t>constitue</w:t>
      </w:r>
      <w:r w:rsidRPr="007979C2">
        <w:rPr>
          <w:rFonts w:ascii="Arial" w:eastAsiaTheme="majorEastAsia" w:hAnsi="Arial" w:cs="Arial"/>
        </w:rPr>
        <w:t xml:space="preserve"> sans doute </w:t>
      </w:r>
      <w:r w:rsidR="00087298" w:rsidRPr="00087298">
        <w:rPr>
          <w:rFonts w:ascii="Arial" w:eastAsiaTheme="majorEastAsia" w:hAnsi="Arial" w:cs="Arial"/>
        </w:rPr>
        <w:t>un frein à la reconnaissance de leurs interventions par l’Assurance Maladie</w:t>
      </w:r>
      <w:r w:rsidR="00087298">
        <w:rPr>
          <w:rFonts w:ascii="Arial" w:eastAsiaTheme="majorEastAsia" w:hAnsi="Arial" w:cs="Arial"/>
        </w:rPr>
        <w:t xml:space="preserve">. </w:t>
      </w:r>
    </w:p>
    <w:p w14:paraId="01FDD1E4" w14:textId="1A8D7567" w:rsidR="00087298" w:rsidRDefault="00087298" w:rsidP="00F0493D">
      <w:pPr>
        <w:pStyle w:val="paragraph"/>
        <w:shd w:val="clear" w:color="auto" w:fill="FFFFFF"/>
        <w:spacing w:after="0" w:line="276" w:lineRule="auto"/>
        <w:textAlignment w:val="baseline"/>
        <w:rPr>
          <w:rFonts w:ascii="Arial" w:eastAsiaTheme="majorEastAsia" w:hAnsi="Arial" w:cs="Arial"/>
        </w:rPr>
      </w:pPr>
      <w:r w:rsidRPr="00087298">
        <w:rPr>
          <w:rFonts w:ascii="Arial" w:eastAsiaTheme="majorEastAsia" w:hAnsi="Arial" w:cs="Arial"/>
        </w:rPr>
        <w:t xml:space="preserve">Par ailleurs, certains IADV exercent en libéral sous statut d’autoentrepreneur, avec des tarifs non encadrés, ce qui souligne l’absence de cadre clair sur les conditions d’exercice et d’accès, </w:t>
      </w:r>
      <w:r>
        <w:rPr>
          <w:rFonts w:ascii="Arial" w:eastAsiaTheme="majorEastAsia" w:hAnsi="Arial" w:cs="Arial"/>
        </w:rPr>
        <w:t xml:space="preserve">et alimente les inégalités </w:t>
      </w:r>
      <w:r w:rsidRPr="00087298">
        <w:rPr>
          <w:rFonts w:ascii="Arial" w:eastAsiaTheme="majorEastAsia" w:hAnsi="Arial" w:cs="Arial"/>
        </w:rPr>
        <w:t>territoriale</w:t>
      </w:r>
      <w:r>
        <w:rPr>
          <w:rFonts w:ascii="Arial" w:eastAsiaTheme="majorEastAsia" w:hAnsi="Arial" w:cs="Arial"/>
        </w:rPr>
        <w:t>s</w:t>
      </w:r>
      <w:r w:rsidRPr="00087298">
        <w:rPr>
          <w:rFonts w:ascii="Arial" w:eastAsiaTheme="majorEastAsia" w:hAnsi="Arial" w:cs="Arial"/>
        </w:rPr>
        <w:t xml:space="preserve"> et sociale</w:t>
      </w:r>
      <w:r>
        <w:rPr>
          <w:rFonts w:ascii="Arial" w:eastAsiaTheme="majorEastAsia" w:hAnsi="Arial" w:cs="Arial"/>
        </w:rPr>
        <w:t>s</w:t>
      </w:r>
      <w:r w:rsidRPr="00087298">
        <w:rPr>
          <w:rFonts w:ascii="Arial" w:eastAsiaTheme="majorEastAsia" w:hAnsi="Arial" w:cs="Arial"/>
        </w:rPr>
        <w:t>.</w:t>
      </w:r>
    </w:p>
    <w:p w14:paraId="4A3D6483" w14:textId="48796E9D" w:rsidR="00AA1BCB" w:rsidRPr="00087298" w:rsidRDefault="007979C2" w:rsidP="00F0493D">
      <w:pPr>
        <w:pStyle w:val="paragraph"/>
        <w:shd w:val="clear" w:color="auto" w:fill="FFFFFF"/>
        <w:spacing w:after="0" w:line="276" w:lineRule="auto"/>
        <w:textAlignment w:val="baseline"/>
        <w:rPr>
          <w:rFonts w:ascii="Arial" w:eastAsiaTheme="majorEastAsia" w:hAnsi="Arial" w:cs="Arial"/>
        </w:rPr>
      </w:pPr>
      <w:r w:rsidRPr="007979C2">
        <w:rPr>
          <w:rFonts w:ascii="Arial" w:eastAsiaTheme="majorEastAsia" w:hAnsi="Arial" w:cs="Arial"/>
        </w:rPr>
        <w:t>Enfin, la formation</w:t>
      </w:r>
      <w:r w:rsidR="005F35D2">
        <w:rPr>
          <w:rFonts w:ascii="Arial" w:eastAsiaTheme="majorEastAsia" w:hAnsi="Arial" w:cs="Arial"/>
        </w:rPr>
        <w:t xml:space="preserve"> </w:t>
      </w:r>
      <w:r w:rsidRPr="007979C2">
        <w:rPr>
          <w:rFonts w:ascii="Arial" w:eastAsiaTheme="majorEastAsia" w:hAnsi="Arial" w:cs="Arial"/>
        </w:rPr>
        <w:t xml:space="preserve">reste coûteuse pour les employeurs, sans garantie que le professionnel financé exercera ensuite dans leur structure. Ce manque de visibilité sur le retour sur investissement freine l’engagement des établissements à soutenir la </w:t>
      </w:r>
      <w:r w:rsidRPr="007979C2">
        <w:rPr>
          <w:rFonts w:ascii="Arial" w:eastAsiaTheme="majorEastAsia" w:hAnsi="Arial" w:cs="Arial"/>
        </w:rPr>
        <w:lastRenderedPageBreak/>
        <w:t>formation de leurs salariés, accentuant encore la pénurie de professionnels qualifiés sur le terrain.</w:t>
      </w:r>
      <w:r w:rsidR="00D46473">
        <w:rPr>
          <w:rFonts w:ascii="Arial" w:hAnsi="Arial" w:cs="Arial"/>
          <w:color w:val="000000"/>
          <w:shd w:val="clear" w:color="auto" w:fill="FFFFFF"/>
        </w:rPr>
        <w:t xml:space="preserve"> </w:t>
      </w:r>
    </w:p>
    <w:p w14:paraId="50E6E027" w14:textId="05EB0054" w:rsidR="00D8113F" w:rsidRPr="00DF2E68" w:rsidRDefault="00DF2E68" w:rsidP="00F0493D">
      <w:pPr>
        <w:spacing w:line="276" w:lineRule="auto"/>
        <w:rPr>
          <w:rFonts w:ascii="Arial" w:hAnsi="Arial" w:cs="Arial"/>
        </w:rPr>
      </w:pPr>
      <w:r w:rsidRPr="00DF2E68">
        <w:rPr>
          <w:rFonts w:ascii="Arial" w:hAnsi="Arial" w:cs="Arial"/>
          <w:color w:val="000000"/>
          <w:shd w:val="clear" w:color="auto" w:fill="FFFFFF"/>
        </w:rPr>
        <w:t>Le manque de professionnels qualifiés en orientation et mobilité a des répercussions directes sur l’autonomie des personnes déficientes visuelles</w:t>
      </w:r>
      <w:r w:rsidR="005F35D2">
        <w:rPr>
          <w:rFonts w:ascii="Arial" w:hAnsi="Arial" w:cs="Arial"/>
          <w:color w:val="000000"/>
          <w:shd w:val="clear" w:color="auto" w:fill="FFFFFF"/>
        </w:rPr>
        <w:t xml:space="preserve"> : </w:t>
      </w:r>
      <w:r w:rsidR="005F35D2" w:rsidRPr="005F35D2">
        <w:rPr>
          <w:rFonts w:ascii="Arial" w:hAnsi="Arial" w:cs="Arial"/>
          <w:color w:val="000000"/>
          <w:shd w:val="clear" w:color="auto" w:fill="FFFFFF"/>
        </w:rPr>
        <w:t xml:space="preserve">alors que 25 heures sont nécessaires pour une personne malvoyante et 50 heures pour une personne aveugle, l’offre actuelle se limite à quelques heures, centrées sur les bases, </w:t>
      </w:r>
      <w:r w:rsidR="005F35D2">
        <w:rPr>
          <w:rFonts w:ascii="Arial" w:hAnsi="Arial" w:cs="Arial"/>
          <w:color w:val="000000"/>
          <w:shd w:val="clear" w:color="auto" w:fill="FFFFFF"/>
        </w:rPr>
        <w:t xml:space="preserve">qui sont </w:t>
      </w:r>
      <w:r w:rsidR="005F35D2" w:rsidRPr="005F35D2">
        <w:rPr>
          <w:rFonts w:ascii="Arial" w:hAnsi="Arial" w:cs="Arial"/>
          <w:color w:val="000000"/>
          <w:shd w:val="clear" w:color="auto" w:fill="FFFFFF"/>
        </w:rPr>
        <w:t xml:space="preserve">insuffisantes pour </w:t>
      </w:r>
      <w:r w:rsidR="005F35D2">
        <w:rPr>
          <w:rFonts w:ascii="Arial" w:hAnsi="Arial" w:cs="Arial"/>
          <w:color w:val="000000"/>
          <w:shd w:val="clear" w:color="auto" w:fill="FFFFFF"/>
        </w:rPr>
        <w:t xml:space="preserve">obtenir une réelle </w:t>
      </w:r>
      <w:r w:rsidR="005F35D2" w:rsidRPr="005F35D2">
        <w:rPr>
          <w:rFonts w:ascii="Arial" w:hAnsi="Arial" w:cs="Arial"/>
          <w:color w:val="000000"/>
          <w:shd w:val="clear" w:color="auto" w:fill="FFFFFF"/>
        </w:rPr>
        <w:t>autonomie</w:t>
      </w:r>
      <w:r w:rsidRPr="00DF2E68">
        <w:rPr>
          <w:rStyle w:val="normaltextrun"/>
          <w:rFonts w:ascii="Arial" w:eastAsiaTheme="majorEastAsia" w:hAnsi="Arial" w:cs="Arial"/>
        </w:rPr>
        <w:t xml:space="preserve">. </w:t>
      </w:r>
      <w:r w:rsidR="00420161" w:rsidRPr="00DF2E68">
        <w:rPr>
          <w:rStyle w:val="normaltextrun"/>
          <w:rFonts w:ascii="Arial" w:eastAsiaTheme="majorEastAsia" w:hAnsi="Arial" w:cs="Arial"/>
        </w:rPr>
        <w:t xml:space="preserve">Par ailleurs, </w:t>
      </w:r>
      <w:r w:rsidR="00420161" w:rsidRPr="00DF2E68">
        <w:rPr>
          <w:rFonts w:ascii="Arial" w:hAnsi="Arial" w:cs="Arial"/>
        </w:rPr>
        <w:t xml:space="preserve">ces estimations ne prennent pas en compte les besoins spécifiques </w:t>
      </w:r>
      <w:r w:rsidRPr="00DF2E68">
        <w:rPr>
          <w:rFonts w:ascii="Arial" w:hAnsi="Arial" w:cs="Arial"/>
        </w:rPr>
        <w:t xml:space="preserve">de certains publics, comme les </w:t>
      </w:r>
      <w:r w:rsidR="00420161" w:rsidRPr="00DF2E68">
        <w:rPr>
          <w:rFonts w:ascii="Arial" w:hAnsi="Arial" w:cs="Arial"/>
        </w:rPr>
        <w:t>enfant</w:t>
      </w:r>
      <w:r w:rsidRPr="00DF2E68">
        <w:rPr>
          <w:rFonts w:ascii="Arial" w:hAnsi="Arial" w:cs="Arial"/>
        </w:rPr>
        <w:t xml:space="preserve">s </w:t>
      </w:r>
      <w:r w:rsidR="005F35D2">
        <w:rPr>
          <w:rFonts w:ascii="Arial" w:hAnsi="Arial" w:cs="Arial"/>
        </w:rPr>
        <w:t>face à</w:t>
      </w:r>
      <w:r w:rsidRPr="00DF2E68">
        <w:rPr>
          <w:rFonts w:ascii="Arial" w:hAnsi="Arial" w:cs="Arial"/>
        </w:rPr>
        <w:t xml:space="preserve"> la</w:t>
      </w:r>
      <w:r w:rsidR="00420161" w:rsidRPr="00DF2E68">
        <w:rPr>
          <w:rFonts w:ascii="Arial" w:hAnsi="Arial" w:cs="Arial"/>
        </w:rPr>
        <w:t xml:space="preserve"> découverte de la rue </w:t>
      </w:r>
      <w:r w:rsidRPr="00DF2E68">
        <w:rPr>
          <w:rFonts w:ascii="Arial" w:hAnsi="Arial" w:cs="Arial"/>
        </w:rPr>
        <w:t xml:space="preserve">ou certains adultes </w:t>
      </w:r>
      <w:r w:rsidR="005F35D2">
        <w:rPr>
          <w:rFonts w:ascii="Arial" w:hAnsi="Arial" w:cs="Arial"/>
        </w:rPr>
        <w:t>face</w:t>
      </w:r>
      <w:r w:rsidR="00087298" w:rsidRPr="00DF2E68">
        <w:rPr>
          <w:rFonts w:ascii="Arial" w:hAnsi="Arial" w:cs="Arial"/>
        </w:rPr>
        <w:t xml:space="preserve"> </w:t>
      </w:r>
      <w:r w:rsidRPr="00DF2E68">
        <w:rPr>
          <w:rFonts w:ascii="Arial" w:hAnsi="Arial" w:cs="Arial"/>
        </w:rPr>
        <w:t>l’</w:t>
      </w:r>
      <w:r w:rsidR="00420161" w:rsidRPr="00DF2E68">
        <w:rPr>
          <w:rFonts w:ascii="Arial" w:hAnsi="Arial" w:cs="Arial"/>
        </w:rPr>
        <w:t>appropriation de nouveaux outils de compensation.</w:t>
      </w:r>
    </w:p>
    <w:p w14:paraId="674C48A8" w14:textId="1F6EC022" w:rsidR="00D8113F" w:rsidRPr="00DF2E68" w:rsidRDefault="00DF2E68" w:rsidP="00F0493D">
      <w:pPr>
        <w:spacing w:line="276" w:lineRule="auto"/>
        <w:rPr>
          <w:rFonts w:ascii="Arial" w:hAnsi="Arial" w:cs="Arial"/>
        </w:rPr>
      </w:pPr>
      <w:r w:rsidRPr="00DF2E68">
        <w:rPr>
          <w:rFonts w:ascii="Arial" w:hAnsi="Arial" w:cs="Arial"/>
        </w:rPr>
        <w:t xml:space="preserve">Plus globalement, la déficience visuelle constitue un enjeu social et économique majeur. Elle freine la participation à la vie professionnelle, réduit l’accès à l’emploi et engendre une perte de </w:t>
      </w:r>
      <w:r w:rsidR="00502A5D">
        <w:rPr>
          <w:rFonts w:ascii="Arial" w:hAnsi="Arial" w:cs="Arial"/>
        </w:rPr>
        <w:t>rendement économique</w:t>
      </w:r>
      <w:r w:rsidRPr="00DF2E68">
        <w:rPr>
          <w:rFonts w:ascii="Arial" w:hAnsi="Arial" w:cs="Arial"/>
        </w:rPr>
        <w:t xml:space="preserve"> significative. Selon le rapport « Cécité et déficience visuelle » publié par l’OMS en 2022, le coût économique annuel mondial de la déficience visuelle est estimé à 411 milliards de dollars, principalement en lien avec la baisse de productivité. À titre de comparaison, répondre aux besoins non couverts en soins visuels coûterait environ 25 milliards de dollars par an. Ce déséquilibre </w:t>
      </w:r>
      <w:r w:rsidR="00A758A5">
        <w:rPr>
          <w:rFonts w:ascii="Arial" w:hAnsi="Arial" w:cs="Arial"/>
        </w:rPr>
        <w:t>souligne le fort</w:t>
      </w:r>
      <w:r w:rsidRPr="00DF2E68">
        <w:rPr>
          <w:rFonts w:ascii="Arial" w:hAnsi="Arial" w:cs="Arial"/>
        </w:rPr>
        <w:t xml:space="preserve"> retour sur investissement d’une politique publique fondée sur la prévention, l’accès aux soins et la réadaptation.</w:t>
      </w:r>
    </w:p>
    <w:p w14:paraId="75564BF7" w14:textId="77777777" w:rsidR="00D8113F" w:rsidRPr="004B7415" w:rsidRDefault="00D8113F" w:rsidP="00F0493D">
      <w:pPr>
        <w:pStyle w:val="paragraph"/>
        <w:shd w:val="clear" w:color="auto" w:fill="FFFFFF"/>
        <w:spacing w:before="0" w:beforeAutospacing="0" w:after="0" w:afterAutospacing="0" w:line="276" w:lineRule="auto"/>
        <w:textAlignment w:val="baseline"/>
        <w:rPr>
          <w:rFonts w:ascii="Arial" w:hAnsi="Arial" w:cs="Arial"/>
          <w:b/>
          <w:bCs/>
          <w:color w:val="000000"/>
          <w:u w:val="single"/>
          <w:shd w:val="clear" w:color="auto" w:fill="FFFFFF"/>
        </w:rPr>
      </w:pPr>
      <w:r w:rsidRPr="004B7415">
        <w:rPr>
          <w:rFonts w:ascii="Arial" w:hAnsi="Arial" w:cs="Arial"/>
          <w:b/>
          <w:bCs/>
          <w:color w:val="000000"/>
          <w:u w:val="single"/>
          <w:shd w:val="clear" w:color="auto" w:fill="FFFFFF"/>
        </w:rPr>
        <w:t xml:space="preserve">Nos propositions : </w:t>
      </w:r>
    </w:p>
    <w:p w14:paraId="40089CE5" w14:textId="22E6591B" w:rsidR="00AA1BCB" w:rsidRPr="00AA1BCB" w:rsidRDefault="00AA1BCB" w:rsidP="00F0493D">
      <w:pPr>
        <w:pStyle w:val="CorpsB"/>
        <w:numPr>
          <w:ilvl w:val="0"/>
          <w:numId w:val="4"/>
        </w:numPr>
        <w:spacing w:line="276" w:lineRule="auto"/>
        <w:rPr>
          <w:b/>
          <w:bCs/>
          <w:color w:val="auto"/>
        </w:rPr>
      </w:pPr>
      <w:r>
        <w:rPr>
          <w:rStyle w:val="AucunA"/>
          <w:b/>
          <w:bCs/>
        </w:rPr>
        <w:t xml:space="preserve">Sensibiliser les ophtalmologues à l’importance d’une orientation vers </w:t>
      </w:r>
      <w:r w:rsidRPr="00AA1BCB">
        <w:rPr>
          <w:rStyle w:val="AucunA"/>
          <w:b/>
          <w:bCs/>
          <w:color w:val="auto"/>
        </w:rPr>
        <w:t xml:space="preserve">une prise en charge en réadaptation en locomotion. </w:t>
      </w:r>
    </w:p>
    <w:p w14:paraId="14513F8E" w14:textId="0E3C75E6" w:rsidR="00AA1BCB" w:rsidRPr="00AA1BCB" w:rsidRDefault="00AA1BCB" w:rsidP="00F0493D">
      <w:pPr>
        <w:pStyle w:val="paragraph"/>
        <w:numPr>
          <w:ilvl w:val="0"/>
          <w:numId w:val="4"/>
        </w:numPr>
        <w:shd w:val="clear" w:color="auto" w:fill="FFFFFF"/>
        <w:spacing w:before="0" w:beforeAutospacing="0" w:after="0" w:afterAutospacing="0" w:line="276" w:lineRule="auto"/>
        <w:textAlignment w:val="baseline"/>
        <w:rPr>
          <w:rStyle w:val="normaltextrun"/>
          <w:rFonts w:ascii="Arial" w:eastAsiaTheme="majorEastAsia" w:hAnsi="Arial" w:cs="Arial"/>
          <w:b/>
          <w:bCs/>
        </w:rPr>
      </w:pPr>
      <w:r w:rsidRPr="00AA1BCB">
        <w:rPr>
          <w:rStyle w:val="normaltextrun"/>
          <w:rFonts w:ascii="Arial" w:eastAsiaTheme="majorEastAsia" w:hAnsi="Arial" w:cs="Arial"/>
          <w:b/>
          <w:bCs/>
        </w:rPr>
        <w:t xml:space="preserve">Développer le nombre d’instructeurs et d’instructrices </w:t>
      </w:r>
      <w:r w:rsidR="00420161">
        <w:rPr>
          <w:rStyle w:val="normaltextrun"/>
          <w:rFonts w:ascii="Arial" w:eastAsiaTheme="majorEastAsia" w:hAnsi="Arial" w:cs="Arial"/>
          <w:b/>
          <w:bCs/>
        </w:rPr>
        <w:t>pour l’</w:t>
      </w:r>
      <w:r w:rsidRPr="00AA1BCB">
        <w:rPr>
          <w:rStyle w:val="normaltextrun"/>
          <w:rFonts w:ascii="Arial" w:eastAsiaTheme="majorEastAsia" w:hAnsi="Arial" w:cs="Arial"/>
          <w:b/>
          <w:bCs/>
        </w:rPr>
        <w:t xml:space="preserve">autonomie grâce à la mise en place d’une politique de promotion et de valorisation de ce métier en tension. </w:t>
      </w:r>
    </w:p>
    <w:p w14:paraId="551DD36A" w14:textId="66CBDB54" w:rsidR="006155FA" w:rsidRPr="004B7415" w:rsidRDefault="00AA1BCB" w:rsidP="00F0493D">
      <w:pPr>
        <w:pStyle w:val="paragraph"/>
        <w:numPr>
          <w:ilvl w:val="0"/>
          <w:numId w:val="4"/>
        </w:numPr>
        <w:shd w:val="clear" w:color="auto" w:fill="FFFFFF"/>
        <w:spacing w:before="0" w:beforeAutospacing="0" w:after="0" w:afterAutospacing="0" w:line="276" w:lineRule="auto"/>
        <w:textAlignment w:val="baseline"/>
        <w:rPr>
          <w:rFonts w:ascii="Arial" w:eastAsiaTheme="majorEastAsia" w:hAnsi="Arial" w:cs="Arial"/>
          <w:b/>
          <w:bCs/>
        </w:rPr>
      </w:pPr>
      <w:r w:rsidRPr="00AA1BCB">
        <w:rPr>
          <w:rStyle w:val="normaltextrun"/>
          <w:rFonts w:ascii="Arial" w:eastAsiaTheme="majorEastAsia" w:hAnsi="Arial" w:cs="Arial"/>
          <w:b/>
          <w:bCs/>
        </w:rPr>
        <w:t xml:space="preserve">Améliorer la visibilité de cette profession, notamment auprès des centres de formation des professionnels de santé paramédicaux, des médecins et agents de santé. </w:t>
      </w:r>
    </w:p>
    <w:p w14:paraId="7C291C9D" w14:textId="54B57801" w:rsidR="00A30959" w:rsidRDefault="003C3E7F" w:rsidP="00AA1BCB">
      <w:pPr>
        <w:pStyle w:val="Titre1"/>
      </w:pPr>
      <w:r>
        <w:t xml:space="preserve">III/ </w:t>
      </w:r>
      <w:r w:rsidR="00A30959" w:rsidRPr="005735DD">
        <w:t xml:space="preserve">Assurer </w:t>
      </w:r>
      <w:r w:rsidR="002F5752">
        <w:t>une</w:t>
      </w:r>
      <w:r w:rsidR="00A30959" w:rsidRPr="005735DD">
        <w:t xml:space="preserve"> prise en charge par la sécurité sociale </w:t>
      </w:r>
    </w:p>
    <w:p w14:paraId="28C828FF" w14:textId="69839337" w:rsidR="00C46E67" w:rsidRPr="00C46E67" w:rsidRDefault="00C46E67" w:rsidP="00F0493D">
      <w:pPr>
        <w:spacing w:line="276" w:lineRule="auto"/>
        <w:rPr>
          <w:rStyle w:val="AucunA"/>
          <w:rFonts w:ascii="Arial" w:hAnsi="Arial" w:cs="Arial"/>
        </w:rPr>
      </w:pPr>
      <w:r w:rsidRPr="00C46E67">
        <w:rPr>
          <w:rFonts w:ascii="Arial" w:hAnsi="Arial" w:cs="Arial"/>
        </w:rPr>
        <w:t xml:space="preserve">En France, la réadaptation en orientation et mobilité est assurée </w:t>
      </w:r>
      <w:r w:rsidR="00A758A5">
        <w:rPr>
          <w:rFonts w:ascii="Arial" w:hAnsi="Arial" w:cs="Arial"/>
        </w:rPr>
        <w:t>soit</w:t>
      </w:r>
      <w:r w:rsidRPr="00C46E67">
        <w:rPr>
          <w:rFonts w:ascii="Arial" w:hAnsi="Arial" w:cs="Arial"/>
        </w:rPr>
        <w:t xml:space="preserve"> par le secteur sanitaire, à travers les SMR-DV</w:t>
      </w:r>
      <w:r w:rsidR="00F0493D">
        <w:rPr>
          <w:rStyle w:val="Appelnotedebasdep"/>
          <w:rFonts w:ascii="Arial" w:hAnsi="Arial" w:cs="Arial"/>
        </w:rPr>
        <w:footnoteReference w:id="4"/>
      </w:r>
      <w:r w:rsidRPr="00C46E67">
        <w:rPr>
          <w:rFonts w:ascii="Arial" w:hAnsi="Arial" w:cs="Arial"/>
        </w:rPr>
        <w:t>,</w:t>
      </w:r>
      <w:r w:rsidR="00A758A5">
        <w:rPr>
          <w:rFonts w:ascii="Arial" w:hAnsi="Arial" w:cs="Arial"/>
        </w:rPr>
        <w:t xml:space="preserve"> soit </w:t>
      </w:r>
      <w:r w:rsidRPr="00C46E67">
        <w:rPr>
          <w:rFonts w:ascii="Arial" w:hAnsi="Arial" w:cs="Arial"/>
        </w:rPr>
        <w:t xml:space="preserve">par le secteur médico-social, </w:t>
      </w:r>
      <w:r w:rsidRPr="00A758A5">
        <w:rPr>
          <w:rFonts w:ascii="Arial" w:hAnsi="Arial" w:cs="Arial"/>
          <w:i/>
          <w:iCs/>
        </w:rPr>
        <w:t>via</w:t>
      </w:r>
      <w:r w:rsidRPr="00C46E67">
        <w:rPr>
          <w:rFonts w:ascii="Arial" w:hAnsi="Arial" w:cs="Arial"/>
        </w:rPr>
        <w:t xml:space="preserve"> les SAMSAH-DV</w:t>
      </w:r>
      <w:r w:rsidR="00F0493D">
        <w:rPr>
          <w:rStyle w:val="Appelnotedebasdep"/>
          <w:rFonts w:ascii="Arial" w:hAnsi="Arial" w:cs="Arial"/>
        </w:rPr>
        <w:footnoteReference w:id="5"/>
      </w:r>
      <w:r w:rsidRPr="00C46E67">
        <w:rPr>
          <w:rFonts w:ascii="Arial" w:hAnsi="Arial" w:cs="Arial"/>
        </w:rPr>
        <w:t xml:space="preserve"> et les SAVS-DV</w:t>
      </w:r>
      <w:r w:rsidR="00F0493D">
        <w:rPr>
          <w:rStyle w:val="Appelnotedebasdep"/>
          <w:rFonts w:ascii="Arial" w:hAnsi="Arial" w:cs="Arial"/>
        </w:rPr>
        <w:footnoteReference w:id="6"/>
      </w:r>
      <w:r w:rsidRPr="00C46E67">
        <w:rPr>
          <w:rFonts w:ascii="Arial" w:hAnsi="Arial" w:cs="Arial"/>
        </w:rPr>
        <w:t xml:space="preserve">, spécialisés dans l’accompagnement </w:t>
      </w:r>
      <w:r w:rsidR="00A758A5">
        <w:rPr>
          <w:rFonts w:ascii="Arial" w:hAnsi="Arial" w:cs="Arial"/>
        </w:rPr>
        <w:t xml:space="preserve">à domicile </w:t>
      </w:r>
      <w:r w:rsidRPr="00C46E67">
        <w:rPr>
          <w:rFonts w:ascii="Arial" w:hAnsi="Arial" w:cs="Arial"/>
        </w:rPr>
        <w:t>des personnes présentant une déficience visuelle.</w:t>
      </w:r>
    </w:p>
    <w:p w14:paraId="32AFFE05" w14:textId="77B38782" w:rsidR="00C46E67" w:rsidRDefault="00C46E67" w:rsidP="00F0493D">
      <w:pPr>
        <w:spacing w:line="276" w:lineRule="auto"/>
        <w:rPr>
          <w:rFonts w:ascii="Arial" w:hAnsi="Arial" w:cs="Arial"/>
        </w:rPr>
      </w:pPr>
      <w:r w:rsidRPr="00C46E67">
        <w:rPr>
          <w:rFonts w:ascii="Arial" w:hAnsi="Arial" w:cs="Arial"/>
        </w:rPr>
        <w:t xml:space="preserve">Toutefois, à ce jour, seules les </w:t>
      </w:r>
      <w:r>
        <w:rPr>
          <w:rFonts w:ascii="Arial" w:hAnsi="Arial" w:cs="Arial"/>
        </w:rPr>
        <w:t>réadaptations</w:t>
      </w:r>
      <w:r w:rsidRPr="00C46E67">
        <w:rPr>
          <w:rFonts w:ascii="Arial" w:hAnsi="Arial" w:cs="Arial"/>
        </w:rPr>
        <w:t xml:space="preserve"> dispensées par les établissements </w:t>
      </w:r>
      <w:r>
        <w:rPr>
          <w:rFonts w:ascii="Arial" w:hAnsi="Arial" w:cs="Arial"/>
        </w:rPr>
        <w:t>médicaux</w:t>
      </w:r>
      <w:r w:rsidRPr="00C46E67">
        <w:rPr>
          <w:rFonts w:ascii="Arial" w:hAnsi="Arial" w:cs="Arial"/>
        </w:rPr>
        <w:t xml:space="preserve"> </w:t>
      </w:r>
      <w:r>
        <w:rPr>
          <w:rFonts w:ascii="Arial" w:hAnsi="Arial" w:cs="Arial"/>
        </w:rPr>
        <w:t xml:space="preserve">et les services </w:t>
      </w:r>
      <w:r w:rsidRPr="00C46E67">
        <w:rPr>
          <w:rFonts w:ascii="Arial" w:hAnsi="Arial" w:cs="Arial"/>
        </w:rPr>
        <w:t xml:space="preserve">médico-sociaux </w:t>
      </w:r>
      <w:r>
        <w:rPr>
          <w:rFonts w:ascii="Arial" w:hAnsi="Arial" w:cs="Arial"/>
        </w:rPr>
        <w:t>accessibles sur</w:t>
      </w:r>
      <w:r w:rsidRPr="00C46E67">
        <w:rPr>
          <w:rFonts w:ascii="Arial" w:hAnsi="Arial" w:cs="Arial"/>
        </w:rPr>
        <w:t xml:space="preserve"> décision d’orientation de la MDPH sont remboursées par l’Assurance Maladie.</w:t>
      </w:r>
      <w:r>
        <w:rPr>
          <w:rFonts w:ascii="Arial" w:hAnsi="Arial" w:cs="Arial"/>
        </w:rPr>
        <w:t xml:space="preserve"> </w:t>
      </w:r>
      <w:r w:rsidRPr="00C46E67">
        <w:rPr>
          <w:rFonts w:ascii="Arial" w:hAnsi="Arial" w:cs="Arial"/>
        </w:rPr>
        <w:t xml:space="preserve">Cela exclut de fait toute réadaptation proposée par des professionnels exerçant en libéral, même lorsque </w:t>
      </w:r>
      <w:r w:rsidRPr="00C46E67">
        <w:rPr>
          <w:rFonts w:ascii="Arial" w:hAnsi="Arial" w:cs="Arial"/>
        </w:rPr>
        <w:lastRenderedPageBreak/>
        <w:t>celle-ci répond à des besoins urgents et clairement identifiés. Cette situation est particulièrement problématique pour les personnes dont le handicap visuel est survenu après 60 ans, une tranche d’âge exclue des dispositifs de prise en charge médico-sociale, alors même que les difficultés de mobilité liées à la perte de vision sont un facteur déterminant de perte d’autonomie.</w:t>
      </w:r>
    </w:p>
    <w:p w14:paraId="3EBC74E7" w14:textId="1E22C511" w:rsidR="00C46E67" w:rsidRDefault="00C46E67" w:rsidP="00F0493D">
      <w:pPr>
        <w:spacing w:line="276" w:lineRule="auto"/>
        <w:rPr>
          <w:rFonts w:ascii="Arial" w:hAnsi="Arial" w:cs="Arial"/>
        </w:rPr>
      </w:pPr>
      <w:r>
        <w:rPr>
          <w:rFonts w:ascii="Arial" w:hAnsi="Arial" w:cs="Arial"/>
        </w:rPr>
        <w:t xml:space="preserve">Par ailleurs, </w:t>
      </w:r>
      <w:r w:rsidRPr="00C46E67">
        <w:rPr>
          <w:rFonts w:ascii="Arial" w:hAnsi="Arial" w:cs="Arial"/>
        </w:rPr>
        <w:t xml:space="preserve">la réadaptation </w:t>
      </w:r>
      <w:r>
        <w:rPr>
          <w:rFonts w:ascii="Arial" w:hAnsi="Arial" w:cs="Arial"/>
        </w:rPr>
        <w:t>pour l’autonomie</w:t>
      </w:r>
      <w:r w:rsidRPr="00C46E67">
        <w:rPr>
          <w:rFonts w:ascii="Arial" w:hAnsi="Arial" w:cs="Arial"/>
        </w:rPr>
        <w:t xml:space="preserve"> ne peut se limiter à </w:t>
      </w:r>
      <w:r>
        <w:rPr>
          <w:rFonts w:ascii="Arial" w:hAnsi="Arial" w:cs="Arial"/>
        </w:rPr>
        <w:t xml:space="preserve">un apprentissage en </w:t>
      </w:r>
      <w:r w:rsidR="00A758A5">
        <w:rPr>
          <w:rFonts w:ascii="Arial" w:hAnsi="Arial" w:cs="Arial"/>
        </w:rPr>
        <w:t>établissement médical</w:t>
      </w:r>
      <w:r w:rsidRPr="00C46E67">
        <w:rPr>
          <w:rFonts w:ascii="Arial" w:hAnsi="Arial" w:cs="Arial"/>
        </w:rPr>
        <w:t xml:space="preserve">. Les apprentissages fondamentaux dispensés dans les SMR nécessitent un relais sur le lieu de vie par les services médico-sociaux, afin de permettre une appropriation concrète des compétences dans l’environnement quotidien. Cette complémentarité est essentielle, notamment pour prévenir les chutes, première cause d’accidents domestiques chez les personnes </w:t>
      </w:r>
      <w:r>
        <w:rPr>
          <w:rFonts w:ascii="Arial" w:hAnsi="Arial" w:cs="Arial"/>
        </w:rPr>
        <w:t xml:space="preserve">âgées, </w:t>
      </w:r>
      <w:r w:rsidR="00A758A5">
        <w:rPr>
          <w:rFonts w:ascii="Arial" w:hAnsi="Arial" w:cs="Arial"/>
        </w:rPr>
        <w:t>dont</w:t>
      </w:r>
      <w:r>
        <w:rPr>
          <w:rFonts w:ascii="Arial" w:hAnsi="Arial" w:cs="Arial"/>
        </w:rPr>
        <w:t xml:space="preserve"> la déficience visuelle est facteur aggravant majeur. </w:t>
      </w:r>
    </w:p>
    <w:p w14:paraId="146ED9E2" w14:textId="3D38C554" w:rsidR="00C46E67" w:rsidRDefault="00C46E67" w:rsidP="00F0493D">
      <w:pPr>
        <w:spacing w:line="276" w:lineRule="auto"/>
        <w:rPr>
          <w:rFonts w:ascii="Arial" w:hAnsi="Arial" w:cs="Arial"/>
        </w:rPr>
      </w:pPr>
      <w:r w:rsidRPr="00C46E67">
        <w:rPr>
          <w:rFonts w:ascii="Arial" w:hAnsi="Arial" w:cs="Arial"/>
        </w:rPr>
        <w:t xml:space="preserve">Le système actuel, qui ne rembourse </w:t>
      </w:r>
      <w:r w:rsidR="00A758A5">
        <w:rPr>
          <w:rFonts w:ascii="Arial" w:hAnsi="Arial" w:cs="Arial"/>
        </w:rPr>
        <w:t xml:space="preserve">pas </w:t>
      </w:r>
      <w:r w:rsidRPr="00C46E67">
        <w:rPr>
          <w:rFonts w:ascii="Arial" w:hAnsi="Arial" w:cs="Arial"/>
        </w:rPr>
        <w:t xml:space="preserve">les actes réalisés en libéral, accentue donc les inégalités d’accès à la réadaptation, en particulier dans les territoires dépourvus de structures spécialisées. Il en résulte une rupture d’égalité, privant de nombreuses personnes </w:t>
      </w:r>
      <w:r>
        <w:rPr>
          <w:rFonts w:ascii="Arial" w:hAnsi="Arial" w:cs="Arial"/>
        </w:rPr>
        <w:t xml:space="preserve">aveugles et malvoyantes </w:t>
      </w:r>
      <w:r w:rsidRPr="00C46E67">
        <w:rPr>
          <w:rFonts w:ascii="Arial" w:hAnsi="Arial" w:cs="Arial"/>
        </w:rPr>
        <w:t>d’une réponse pourtant fondamentale à leur sécurité et à leur autonomie.</w:t>
      </w:r>
    </w:p>
    <w:p w14:paraId="17D306B9" w14:textId="2CDB4CAB" w:rsidR="00C46E67" w:rsidRPr="00C46E67" w:rsidRDefault="00C46E67" w:rsidP="00F0493D">
      <w:pPr>
        <w:spacing w:line="276" w:lineRule="auto"/>
        <w:rPr>
          <w:rStyle w:val="AucunA"/>
          <w:rFonts w:ascii="Arial" w:hAnsi="Arial" w:cs="Arial"/>
        </w:rPr>
      </w:pPr>
      <w:r w:rsidRPr="00C46E67">
        <w:rPr>
          <w:rFonts w:ascii="Arial" w:hAnsi="Arial" w:cs="Arial"/>
        </w:rPr>
        <w:t xml:space="preserve">Enfin, les prestations de compensation accordées par les MDPH en matière de locomotion restent très hétérogènes selon les départements. </w:t>
      </w:r>
      <w:r w:rsidR="00A758A5" w:rsidRPr="00A758A5">
        <w:rPr>
          <w:rFonts w:ascii="Arial" w:hAnsi="Arial" w:cs="Arial"/>
        </w:rPr>
        <w:t>Certaines couvrent intégralement les interventions, d’autres partiellement, voire pas du tout.</w:t>
      </w:r>
      <w:r w:rsidR="00A758A5">
        <w:rPr>
          <w:rFonts w:ascii="Arial" w:hAnsi="Arial" w:cs="Arial"/>
        </w:rPr>
        <w:t xml:space="preserve"> </w:t>
      </w:r>
      <w:r w:rsidRPr="00C46E67">
        <w:rPr>
          <w:rFonts w:ascii="Arial" w:hAnsi="Arial" w:cs="Arial"/>
        </w:rPr>
        <w:t>Cette variabilité territoriale engendre de profondes inégalités et constitue, pour les personnes concernées, une véritable perte de chance.</w:t>
      </w:r>
    </w:p>
    <w:p w14:paraId="7A076B0D" w14:textId="266F57F5" w:rsidR="00A30959" w:rsidRPr="00851192" w:rsidRDefault="003C3E7F" w:rsidP="00F0493D">
      <w:pPr>
        <w:pStyle w:val="paragraph"/>
        <w:shd w:val="clear" w:color="auto" w:fill="FFFFFF"/>
        <w:spacing w:before="0" w:beforeAutospacing="0" w:after="0" w:afterAutospacing="0" w:line="276" w:lineRule="auto"/>
        <w:textAlignment w:val="baseline"/>
        <w:rPr>
          <w:rStyle w:val="AucunA"/>
          <w:rFonts w:ascii="Arial" w:eastAsiaTheme="majorEastAsia" w:hAnsi="Arial" w:cs="Arial"/>
          <w:b/>
          <w:bCs/>
          <w:u w:val="single"/>
        </w:rPr>
      </w:pPr>
      <w:r w:rsidRPr="003C3E7F">
        <w:rPr>
          <w:rStyle w:val="eop"/>
          <w:rFonts w:ascii="Arial" w:eastAsiaTheme="majorEastAsia" w:hAnsi="Arial" w:cs="Arial"/>
          <w:b/>
          <w:bCs/>
          <w:u w:val="single"/>
        </w:rPr>
        <w:t xml:space="preserve">Nos propositions : </w:t>
      </w:r>
    </w:p>
    <w:p w14:paraId="46AD56C7" w14:textId="3960C90E" w:rsidR="0060119D" w:rsidRPr="00851192" w:rsidRDefault="0060119D" w:rsidP="00F0493D">
      <w:pPr>
        <w:pStyle w:val="CorpsB"/>
        <w:numPr>
          <w:ilvl w:val="0"/>
          <w:numId w:val="7"/>
        </w:numPr>
        <w:spacing w:line="276" w:lineRule="auto"/>
        <w:rPr>
          <w:rStyle w:val="AucunA"/>
          <w:b/>
          <w:bCs/>
        </w:rPr>
      </w:pPr>
      <w:r w:rsidRPr="00851192">
        <w:rPr>
          <w:rStyle w:val="AucunA"/>
          <w:b/>
          <w:bCs/>
        </w:rPr>
        <w:t xml:space="preserve">Engager un travail sur la prise en charge par la sécurité sociale des actes de réadaptation en </w:t>
      </w:r>
      <w:r w:rsidR="00420161" w:rsidRPr="00851192">
        <w:rPr>
          <w:rStyle w:val="AucunA"/>
          <w:b/>
          <w:bCs/>
        </w:rPr>
        <w:t>orientation et mobilité</w:t>
      </w:r>
      <w:r w:rsidRPr="00851192">
        <w:rPr>
          <w:rStyle w:val="AucunA"/>
          <w:b/>
          <w:bCs/>
        </w:rPr>
        <w:t xml:space="preserve"> permettant d’identifier les modalités de prescription, le tarif, le périmètre d’intervention et la complémentarité avec les structures spécialisées (quand elles existent).</w:t>
      </w:r>
    </w:p>
    <w:p w14:paraId="08A0887D" w14:textId="4DB1B405" w:rsidR="004E186B" w:rsidRPr="000C7CD4" w:rsidRDefault="004E186B" w:rsidP="00F0493D">
      <w:pPr>
        <w:pStyle w:val="CorpsB"/>
        <w:numPr>
          <w:ilvl w:val="0"/>
          <w:numId w:val="7"/>
        </w:numPr>
        <w:spacing w:line="276" w:lineRule="auto"/>
        <w:rPr>
          <w:b/>
          <w:bCs/>
          <w:color w:val="auto"/>
        </w:rPr>
      </w:pPr>
      <w:r>
        <w:rPr>
          <w:rStyle w:val="AucunA"/>
          <w:b/>
          <w:bCs/>
        </w:rPr>
        <w:t xml:space="preserve">Supprimer la barrière d’âge qui limite l’accès aux soins en réadaptation sur </w:t>
      </w:r>
      <w:r w:rsidRPr="000C7CD4">
        <w:rPr>
          <w:rStyle w:val="AucunA"/>
          <w:b/>
          <w:bCs/>
          <w:color w:val="auto"/>
        </w:rPr>
        <w:t>le lieu de vie</w:t>
      </w:r>
      <w:r w:rsidR="002B2130" w:rsidRPr="000C7CD4">
        <w:rPr>
          <w:rStyle w:val="AucunA"/>
          <w:b/>
          <w:bCs/>
          <w:color w:val="auto"/>
        </w:rPr>
        <w:t xml:space="preserve"> dispensés par les SAMSAH et les SAVS. </w:t>
      </w:r>
    </w:p>
    <w:p w14:paraId="11A0D9D0" w14:textId="59D1F446" w:rsidR="004E186B" w:rsidRPr="000C7CD4" w:rsidRDefault="002B2130" w:rsidP="00F0493D">
      <w:pPr>
        <w:pStyle w:val="CorpsB"/>
        <w:numPr>
          <w:ilvl w:val="0"/>
          <w:numId w:val="7"/>
        </w:numPr>
        <w:spacing w:line="276" w:lineRule="auto"/>
        <w:rPr>
          <w:rStyle w:val="AucunA"/>
          <w:b/>
          <w:bCs/>
          <w:color w:val="auto"/>
        </w:rPr>
      </w:pPr>
      <w:r w:rsidRPr="000C7CD4">
        <w:rPr>
          <w:rStyle w:val="AucunA"/>
          <w:b/>
          <w:bCs/>
          <w:color w:val="auto"/>
        </w:rPr>
        <w:t>Lever</w:t>
      </w:r>
      <w:r w:rsidR="004E186B" w:rsidRPr="000C7CD4">
        <w:rPr>
          <w:rStyle w:val="AucunA"/>
          <w:b/>
          <w:bCs/>
          <w:color w:val="auto"/>
        </w:rPr>
        <w:t xml:space="preserve"> la barrière d’âge des 60 ans pour bénéficier de la PCH lorsqu’un diagnostic de déficience visuelle est posé. </w:t>
      </w:r>
    </w:p>
    <w:p w14:paraId="5D49988F" w14:textId="5CF405C4" w:rsidR="00AD32EA" w:rsidRPr="00AD32EA" w:rsidRDefault="00FA5613" w:rsidP="00F0493D">
      <w:pPr>
        <w:pStyle w:val="CorpsB"/>
        <w:numPr>
          <w:ilvl w:val="0"/>
          <w:numId w:val="7"/>
        </w:numPr>
        <w:spacing w:line="276" w:lineRule="auto"/>
        <w:rPr>
          <w:b/>
          <w:bCs/>
          <w:color w:val="auto"/>
        </w:rPr>
      </w:pPr>
      <w:r w:rsidRPr="000C7CD4">
        <w:rPr>
          <w:rStyle w:val="AucunA"/>
          <w:b/>
          <w:bCs/>
          <w:color w:val="auto"/>
        </w:rPr>
        <w:t>Homogénéiser la prise en charge de l’instruction en locomotion par les MDPH afin de réduire les inégalités territoriales.</w:t>
      </w:r>
    </w:p>
    <w:p w14:paraId="11044F67" w14:textId="2CB93E34" w:rsidR="00AD32EA" w:rsidRPr="00AD32EA" w:rsidRDefault="00AD32EA" w:rsidP="00AD32EA">
      <w:pPr>
        <w:pStyle w:val="Titre1"/>
      </w:pPr>
      <w:r>
        <w:t>Conclusion</w:t>
      </w:r>
    </w:p>
    <w:p w14:paraId="1FFA0368" w14:textId="3959CD9C" w:rsidR="00AD32EA" w:rsidRPr="00AD32EA" w:rsidRDefault="00A758A5" w:rsidP="00A758A5">
      <w:pPr>
        <w:pStyle w:val="CorpsB"/>
        <w:spacing w:line="276" w:lineRule="auto"/>
      </w:pPr>
      <w:r w:rsidRPr="00A758A5">
        <w:t xml:space="preserve">L’instruction pour l’autonomie est une réponse essentielle à la perte d’autonomie et de sécurité des personnes déficientes visuelles, notamment en matière de déplacements. Or, le faible taux d’accès à la réadaptation en France, conjugué à une augmentation croissante des besoins, montre l’urgence d’un développement ambitieux et structuré de ce </w:t>
      </w:r>
      <w:r w:rsidR="002457CF">
        <w:t>métier</w:t>
      </w:r>
      <w:r w:rsidRPr="00A758A5">
        <w:t xml:space="preserve">. Il est </w:t>
      </w:r>
      <w:r>
        <w:t>nécessaire de</w:t>
      </w:r>
      <w:r w:rsidRPr="00A758A5">
        <w:t xml:space="preserve"> reconnaître le rôle </w:t>
      </w:r>
      <w:r w:rsidRPr="00A758A5">
        <w:lastRenderedPageBreak/>
        <w:t>fondamental des instructeurs pour l’autonomie dans la construction d’une société plus accessible et solidaire.</w:t>
      </w:r>
    </w:p>
    <w:sectPr w:rsidR="00AD32EA" w:rsidRPr="00AD32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C6DE9" w14:textId="77777777" w:rsidR="00FD09CF" w:rsidRDefault="00FD09CF" w:rsidP="002F5752">
      <w:pPr>
        <w:spacing w:after="0" w:line="240" w:lineRule="auto"/>
      </w:pPr>
      <w:r>
        <w:separator/>
      </w:r>
    </w:p>
  </w:endnote>
  <w:endnote w:type="continuationSeparator" w:id="0">
    <w:p w14:paraId="1A265506" w14:textId="77777777" w:rsidR="00FD09CF" w:rsidRDefault="00FD09CF" w:rsidP="002F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8DA88" w14:textId="77777777" w:rsidR="00FD09CF" w:rsidRDefault="00FD09CF" w:rsidP="002F5752">
      <w:pPr>
        <w:spacing w:after="0" w:line="240" w:lineRule="auto"/>
      </w:pPr>
      <w:r>
        <w:separator/>
      </w:r>
    </w:p>
  </w:footnote>
  <w:footnote w:type="continuationSeparator" w:id="0">
    <w:p w14:paraId="7D98C609" w14:textId="77777777" w:rsidR="00FD09CF" w:rsidRDefault="00FD09CF" w:rsidP="002F5752">
      <w:pPr>
        <w:spacing w:after="0" w:line="240" w:lineRule="auto"/>
      </w:pPr>
      <w:r>
        <w:continuationSeparator/>
      </w:r>
    </w:p>
  </w:footnote>
  <w:footnote w:id="1">
    <w:p w14:paraId="03B29407" w14:textId="77777777" w:rsidR="0082652D" w:rsidRPr="002F5752" w:rsidRDefault="0082652D" w:rsidP="0082652D">
      <w:pPr>
        <w:pStyle w:val="Notedebasdepage"/>
        <w:pBdr>
          <w:top w:val="nil"/>
          <w:left w:val="nil"/>
          <w:bottom w:val="nil"/>
          <w:right w:val="nil"/>
          <w:between w:val="nil"/>
          <w:bar w:val="nil"/>
        </w:pBdr>
        <w:rPr>
          <w:rFonts w:ascii="Arial" w:hAnsi="Arial" w:cs="Arial"/>
          <w:color w:val="0000FF"/>
        </w:rPr>
      </w:pPr>
      <w:r>
        <w:rPr>
          <w:rStyle w:val="Appelnotedebasdep"/>
        </w:rPr>
        <w:footnoteRef/>
      </w:r>
      <w:r>
        <w:t xml:space="preserve"> </w:t>
      </w:r>
      <w:r w:rsidRPr="002F5752">
        <w:rPr>
          <w:rStyle w:val="Aucun"/>
          <w:rFonts w:ascii="Arial" w:hAnsi="Arial" w:cs="Arial"/>
        </w:rPr>
        <w:t xml:space="preserve">Etude Homère. 2021. Mieux connaître les personnes déficientes visuelles en France. Cahier thématique « déficience visuelle des personnes de 60 ans et plus ». </w:t>
      </w:r>
      <w:hyperlink r:id="rId1" w:history="1">
        <w:r w:rsidRPr="002F5752">
          <w:rPr>
            <w:rStyle w:val="Hyperlink8"/>
            <w:rFonts w:ascii="Arial" w:hAnsi="Arial" w:cs="Arial"/>
            <w:color w:val="0000FF"/>
          </w:rPr>
          <w:t>Étude HOMÈRE - Cahier thématique : Déficience visuelle des personnes de 60 ans et</w:t>
        </w:r>
        <w:r w:rsidRPr="002B2130">
          <w:rPr>
            <w:rStyle w:val="Hyperlink8"/>
            <w:rFonts w:ascii="Arial" w:hAnsi="Arial" w:cs="Arial"/>
            <w:color w:val="0000FF"/>
          </w:rPr>
          <w:t xml:space="preserve"> plus (av</w:t>
        </w:r>
        <w:r w:rsidRPr="002F5752">
          <w:rPr>
            <w:rStyle w:val="Hyperlink8"/>
            <w:rFonts w:ascii="Arial" w:hAnsi="Arial" w:cs="Arial"/>
            <w:color w:val="0000FF"/>
          </w:rPr>
          <w:t>euglesdefrance.org)</w:t>
        </w:r>
      </w:hyperlink>
    </w:p>
    <w:p w14:paraId="74E57C73" w14:textId="77777777" w:rsidR="0082652D" w:rsidRDefault="0082652D" w:rsidP="0082652D">
      <w:pPr>
        <w:pStyle w:val="Notedebasdepage"/>
      </w:pPr>
    </w:p>
  </w:footnote>
  <w:footnote w:id="2">
    <w:p w14:paraId="6442517F" w14:textId="49DA24CC" w:rsidR="00DB232F" w:rsidRPr="00514EF3" w:rsidRDefault="00DB232F">
      <w:pPr>
        <w:pStyle w:val="Notedebasdepage"/>
        <w:rPr>
          <w:rFonts w:ascii="Arial" w:hAnsi="Arial" w:cs="Arial"/>
        </w:rPr>
      </w:pPr>
      <w:r w:rsidRPr="00514EF3">
        <w:rPr>
          <w:rStyle w:val="Appelnotedebasdep"/>
          <w:rFonts w:ascii="Arial" w:hAnsi="Arial" w:cs="Arial"/>
        </w:rPr>
        <w:footnoteRef/>
      </w:r>
      <w:r w:rsidRPr="00514EF3">
        <w:rPr>
          <w:rFonts w:ascii="Arial" w:hAnsi="Arial" w:cs="Arial"/>
        </w:rPr>
        <w:t xml:space="preserve"> Soins médicaux et de réadaptation</w:t>
      </w:r>
      <w:r w:rsidR="00D22632" w:rsidRPr="00514EF3">
        <w:rPr>
          <w:rFonts w:ascii="Arial" w:hAnsi="Arial" w:cs="Arial"/>
        </w:rPr>
        <w:t xml:space="preserve"> en déficience visuelle.</w:t>
      </w:r>
    </w:p>
  </w:footnote>
  <w:footnote w:id="3">
    <w:p w14:paraId="243B16FB" w14:textId="77777777" w:rsidR="007979C2" w:rsidRDefault="007979C2" w:rsidP="007979C2">
      <w:pPr>
        <w:pStyle w:val="Notedebasdepage"/>
      </w:pPr>
      <w:r w:rsidRPr="00514EF3">
        <w:rPr>
          <w:rStyle w:val="Appelnotedebasdep"/>
          <w:rFonts w:ascii="Arial" w:hAnsi="Arial" w:cs="Arial"/>
        </w:rPr>
        <w:footnoteRef/>
      </w:r>
      <w:r w:rsidRPr="00514EF3">
        <w:rPr>
          <w:rFonts w:ascii="Arial" w:hAnsi="Arial" w:cs="Arial"/>
        </w:rPr>
        <w:t xml:space="preserve"> Formation des instructeurs pour l’autonomie des personnes déficientes visuelles par la Fédération des aveugles de France : </w:t>
      </w:r>
      <w:hyperlink r:id="rId2" w:history="1">
        <w:r w:rsidRPr="00514EF3">
          <w:rPr>
            <w:rStyle w:val="Lienhypertexte"/>
            <w:rFonts w:ascii="Arial" w:hAnsi="Arial" w:cs="Arial"/>
          </w:rPr>
          <w:t>Formation des Instructeurs pour l'autonomie des personnes déficientes visuelles - Fédération des Aveugles et Amblyopes de France | Fédération des Aveugles et Amblyopes de France</w:t>
        </w:r>
      </w:hyperlink>
    </w:p>
  </w:footnote>
  <w:footnote w:id="4">
    <w:p w14:paraId="21FA5822" w14:textId="4E9A77BC" w:rsidR="00F0493D" w:rsidRPr="00F0493D" w:rsidRDefault="00F0493D">
      <w:pPr>
        <w:pStyle w:val="Notedebasdepage"/>
        <w:rPr>
          <w:rFonts w:ascii="Arial" w:hAnsi="Arial" w:cs="Arial"/>
          <w:sz w:val="18"/>
          <w:szCs w:val="18"/>
        </w:rPr>
      </w:pPr>
      <w:r w:rsidRPr="00F0493D">
        <w:rPr>
          <w:rStyle w:val="Appelnotedebasdep"/>
          <w:rFonts w:ascii="Arial" w:hAnsi="Arial" w:cs="Arial"/>
          <w:sz w:val="18"/>
          <w:szCs w:val="18"/>
        </w:rPr>
        <w:footnoteRef/>
      </w:r>
      <w:r w:rsidRPr="00F0493D">
        <w:rPr>
          <w:rFonts w:ascii="Arial" w:hAnsi="Arial" w:cs="Arial"/>
          <w:sz w:val="18"/>
          <w:szCs w:val="18"/>
        </w:rPr>
        <w:t xml:space="preserve"> Soins médicaux et de réadaptation en déficience visuelle.</w:t>
      </w:r>
    </w:p>
  </w:footnote>
  <w:footnote w:id="5">
    <w:p w14:paraId="0A3E5E58" w14:textId="7F6F8963" w:rsidR="00F0493D" w:rsidRPr="00F0493D" w:rsidRDefault="00F0493D">
      <w:pPr>
        <w:pStyle w:val="Notedebasdepage"/>
        <w:rPr>
          <w:rFonts w:ascii="Arial" w:hAnsi="Arial" w:cs="Arial"/>
          <w:sz w:val="18"/>
          <w:szCs w:val="18"/>
        </w:rPr>
      </w:pPr>
      <w:r w:rsidRPr="00F0493D">
        <w:rPr>
          <w:rStyle w:val="Appelnotedebasdep"/>
          <w:rFonts w:ascii="Arial" w:hAnsi="Arial" w:cs="Arial"/>
          <w:sz w:val="18"/>
          <w:szCs w:val="18"/>
        </w:rPr>
        <w:footnoteRef/>
      </w:r>
      <w:r w:rsidRPr="00F0493D">
        <w:rPr>
          <w:rFonts w:ascii="Arial" w:hAnsi="Arial" w:cs="Arial"/>
          <w:sz w:val="18"/>
          <w:szCs w:val="18"/>
        </w:rPr>
        <w:t xml:space="preserve"> Services d’Accompagnement Médico-Social pour Adultes Handicapés.</w:t>
      </w:r>
    </w:p>
  </w:footnote>
  <w:footnote w:id="6">
    <w:p w14:paraId="17BC675D" w14:textId="48C55062" w:rsidR="00F0493D" w:rsidRDefault="00F0493D">
      <w:pPr>
        <w:pStyle w:val="Notedebasdepage"/>
      </w:pPr>
      <w:r w:rsidRPr="00F0493D">
        <w:rPr>
          <w:rStyle w:val="Appelnotedebasdep"/>
          <w:rFonts w:ascii="Arial" w:hAnsi="Arial" w:cs="Arial"/>
          <w:sz w:val="18"/>
          <w:szCs w:val="18"/>
        </w:rPr>
        <w:footnoteRef/>
      </w:r>
      <w:r w:rsidRPr="00F0493D">
        <w:rPr>
          <w:rFonts w:ascii="Arial" w:hAnsi="Arial" w:cs="Arial"/>
          <w:sz w:val="18"/>
          <w:szCs w:val="18"/>
        </w:rPr>
        <w:t xml:space="preserve"> Services d’Accompagnement à la Vie Sociale.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74F7"/>
    <w:multiLevelType w:val="hybridMultilevel"/>
    <w:tmpl w:val="F2D2F032"/>
    <w:styleLink w:val="Style2import"/>
    <w:lvl w:ilvl="0" w:tplc="3CF4B1F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378222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324784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944410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8662BB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AC4E38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CD2844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986EA1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49A463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122639"/>
    <w:multiLevelType w:val="multilevel"/>
    <w:tmpl w:val="28F2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2F7F4E"/>
    <w:multiLevelType w:val="hybridMultilevel"/>
    <w:tmpl w:val="CB2A80DC"/>
    <w:numStyleLink w:val="Style3import"/>
  </w:abstractNum>
  <w:abstractNum w:abstractNumId="3" w15:restartNumberingAfterBreak="0">
    <w:nsid w:val="25026FCC"/>
    <w:multiLevelType w:val="hybridMultilevel"/>
    <w:tmpl w:val="5B7C0254"/>
    <w:lvl w:ilvl="0" w:tplc="409C06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3B5EBB"/>
    <w:multiLevelType w:val="hybridMultilevel"/>
    <w:tmpl w:val="ECF4FD0C"/>
    <w:styleLink w:val="Style1import"/>
    <w:lvl w:ilvl="0" w:tplc="51E8BB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507C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22C856">
      <w:start w:val="1"/>
      <w:numFmt w:val="lowerRoman"/>
      <w:lvlText w:val="%3."/>
      <w:lvlJc w:val="left"/>
      <w:pPr>
        <w:ind w:left="2160"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032622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62B8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5C8868">
      <w:start w:val="1"/>
      <w:numFmt w:val="lowerRoman"/>
      <w:lvlText w:val="%6."/>
      <w:lvlJc w:val="left"/>
      <w:pPr>
        <w:ind w:left="4320"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7AF20A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7681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023230">
      <w:start w:val="1"/>
      <w:numFmt w:val="lowerRoman"/>
      <w:lvlText w:val="%9."/>
      <w:lvlJc w:val="left"/>
      <w:pPr>
        <w:ind w:left="6480"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3770CFD"/>
    <w:multiLevelType w:val="hybridMultilevel"/>
    <w:tmpl w:val="ECF4FD0C"/>
    <w:numStyleLink w:val="Style1import"/>
  </w:abstractNum>
  <w:abstractNum w:abstractNumId="6" w15:restartNumberingAfterBreak="0">
    <w:nsid w:val="58D36A98"/>
    <w:multiLevelType w:val="hybridMultilevel"/>
    <w:tmpl w:val="FBE88F26"/>
    <w:lvl w:ilvl="0" w:tplc="3F52AB4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F452D8"/>
    <w:multiLevelType w:val="hybridMultilevel"/>
    <w:tmpl w:val="CB2A80DC"/>
    <w:styleLink w:val="Style3import"/>
    <w:lvl w:ilvl="0" w:tplc="162E3B8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F2C180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6924F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D4CF1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E84B2E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4F271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C8CD4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A666EA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BA898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B8F350F"/>
    <w:multiLevelType w:val="hybridMultilevel"/>
    <w:tmpl w:val="00563854"/>
    <w:lvl w:ilvl="0" w:tplc="17BCC4B6">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2071A3"/>
    <w:multiLevelType w:val="hybridMultilevel"/>
    <w:tmpl w:val="7E6EAD44"/>
    <w:styleLink w:val="Style3import0"/>
    <w:lvl w:ilvl="0" w:tplc="9C0E5B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BA33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EC597E">
      <w:start w:val="1"/>
      <w:numFmt w:val="lowerRoman"/>
      <w:lvlText w:val="%3."/>
      <w:lvlJc w:val="left"/>
      <w:pPr>
        <w:ind w:left="2160"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8C12F6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FE88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B85240">
      <w:start w:val="1"/>
      <w:numFmt w:val="lowerRoman"/>
      <w:lvlText w:val="%6."/>
      <w:lvlJc w:val="left"/>
      <w:pPr>
        <w:ind w:left="4320"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EE8611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260E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86B6C8">
      <w:start w:val="1"/>
      <w:numFmt w:val="lowerRoman"/>
      <w:lvlText w:val="%9."/>
      <w:lvlJc w:val="left"/>
      <w:pPr>
        <w:ind w:left="6480"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65211A4"/>
    <w:multiLevelType w:val="hybridMultilevel"/>
    <w:tmpl w:val="F2D2F032"/>
    <w:numStyleLink w:val="Style2import"/>
  </w:abstractNum>
  <w:abstractNum w:abstractNumId="11" w15:restartNumberingAfterBreak="0">
    <w:nsid w:val="6F6A0E99"/>
    <w:multiLevelType w:val="hybridMultilevel"/>
    <w:tmpl w:val="F79CD490"/>
    <w:lvl w:ilvl="0" w:tplc="CEF664E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6939BE"/>
    <w:multiLevelType w:val="hybridMultilevel"/>
    <w:tmpl w:val="7E6EAD44"/>
    <w:numStyleLink w:val="Style3import0"/>
  </w:abstractNum>
  <w:num w:numId="1" w16cid:durableId="1658798511">
    <w:abstractNumId w:val="3"/>
  </w:num>
  <w:num w:numId="2" w16cid:durableId="1495099893">
    <w:abstractNumId w:val="4"/>
  </w:num>
  <w:num w:numId="3" w16cid:durableId="260142496">
    <w:abstractNumId w:val="0"/>
  </w:num>
  <w:num w:numId="4" w16cid:durableId="1025442641">
    <w:abstractNumId w:val="10"/>
  </w:num>
  <w:num w:numId="5" w16cid:durableId="681515959">
    <w:abstractNumId w:val="5"/>
    <w:lvlOverride w:ilvl="0">
      <w:startOverride w:val="8"/>
    </w:lvlOverride>
  </w:num>
  <w:num w:numId="6" w16cid:durableId="715858402">
    <w:abstractNumId w:val="7"/>
  </w:num>
  <w:num w:numId="7" w16cid:durableId="564948822">
    <w:abstractNumId w:val="2"/>
  </w:num>
  <w:num w:numId="8" w16cid:durableId="1265848900">
    <w:abstractNumId w:val="9"/>
  </w:num>
  <w:num w:numId="9" w16cid:durableId="570425604">
    <w:abstractNumId w:val="12"/>
  </w:num>
  <w:num w:numId="10" w16cid:durableId="2107530265">
    <w:abstractNumId w:val="1"/>
  </w:num>
  <w:num w:numId="11" w16cid:durableId="84345715">
    <w:abstractNumId w:val="8"/>
  </w:num>
  <w:num w:numId="12" w16cid:durableId="1153522623">
    <w:abstractNumId w:val="11"/>
  </w:num>
  <w:num w:numId="13" w16cid:durableId="845944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56"/>
    <w:rsid w:val="00040E8B"/>
    <w:rsid w:val="00067008"/>
    <w:rsid w:val="00087298"/>
    <w:rsid w:val="000A7CA5"/>
    <w:rsid w:val="000C7CD4"/>
    <w:rsid w:val="000F0C36"/>
    <w:rsid w:val="00132735"/>
    <w:rsid w:val="00153A3A"/>
    <w:rsid w:val="00181324"/>
    <w:rsid w:val="00184F5A"/>
    <w:rsid w:val="00236C8E"/>
    <w:rsid w:val="002457CF"/>
    <w:rsid w:val="00247DFB"/>
    <w:rsid w:val="002764DB"/>
    <w:rsid w:val="002A44B8"/>
    <w:rsid w:val="002B2130"/>
    <w:rsid w:val="002D6956"/>
    <w:rsid w:val="002F5752"/>
    <w:rsid w:val="003624D9"/>
    <w:rsid w:val="00365BBE"/>
    <w:rsid w:val="00373393"/>
    <w:rsid w:val="003A0D2B"/>
    <w:rsid w:val="003A6289"/>
    <w:rsid w:val="003C3E7F"/>
    <w:rsid w:val="00420161"/>
    <w:rsid w:val="00432069"/>
    <w:rsid w:val="00457324"/>
    <w:rsid w:val="00467B1E"/>
    <w:rsid w:val="00477A01"/>
    <w:rsid w:val="004A1934"/>
    <w:rsid w:val="004B7415"/>
    <w:rsid w:val="004C7DBB"/>
    <w:rsid w:val="004E186B"/>
    <w:rsid w:val="004F4215"/>
    <w:rsid w:val="00502A5D"/>
    <w:rsid w:val="00514EF3"/>
    <w:rsid w:val="00535B29"/>
    <w:rsid w:val="00535F58"/>
    <w:rsid w:val="00550FF6"/>
    <w:rsid w:val="00552B29"/>
    <w:rsid w:val="005735DD"/>
    <w:rsid w:val="005A6782"/>
    <w:rsid w:val="005B25B5"/>
    <w:rsid w:val="005C1330"/>
    <w:rsid w:val="005F2E90"/>
    <w:rsid w:val="005F35D2"/>
    <w:rsid w:val="0060119D"/>
    <w:rsid w:val="00607A34"/>
    <w:rsid w:val="006155FA"/>
    <w:rsid w:val="00636F92"/>
    <w:rsid w:val="0068445A"/>
    <w:rsid w:val="00686608"/>
    <w:rsid w:val="006A0A27"/>
    <w:rsid w:val="006F3A8C"/>
    <w:rsid w:val="0070299A"/>
    <w:rsid w:val="00747D85"/>
    <w:rsid w:val="0076113F"/>
    <w:rsid w:val="007979C2"/>
    <w:rsid w:val="007C18F7"/>
    <w:rsid w:val="0082652D"/>
    <w:rsid w:val="00851192"/>
    <w:rsid w:val="00882C3A"/>
    <w:rsid w:val="0088485F"/>
    <w:rsid w:val="008D6539"/>
    <w:rsid w:val="008E5688"/>
    <w:rsid w:val="009F78E2"/>
    <w:rsid w:val="00A04B19"/>
    <w:rsid w:val="00A30959"/>
    <w:rsid w:val="00A57B90"/>
    <w:rsid w:val="00A758A5"/>
    <w:rsid w:val="00AA1BCB"/>
    <w:rsid w:val="00AA4BC3"/>
    <w:rsid w:val="00AC16A7"/>
    <w:rsid w:val="00AD32EA"/>
    <w:rsid w:val="00B165FB"/>
    <w:rsid w:val="00B23794"/>
    <w:rsid w:val="00B31C75"/>
    <w:rsid w:val="00B32C77"/>
    <w:rsid w:val="00B57890"/>
    <w:rsid w:val="00B837A0"/>
    <w:rsid w:val="00BC4253"/>
    <w:rsid w:val="00C201E5"/>
    <w:rsid w:val="00C46E67"/>
    <w:rsid w:val="00C568E0"/>
    <w:rsid w:val="00CE0790"/>
    <w:rsid w:val="00D133D0"/>
    <w:rsid w:val="00D22632"/>
    <w:rsid w:val="00D321D7"/>
    <w:rsid w:val="00D46473"/>
    <w:rsid w:val="00D473BF"/>
    <w:rsid w:val="00D8113F"/>
    <w:rsid w:val="00DA19F6"/>
    <w:rsid w:val="00DB232F"/>
    <w:rsid w:val="00DD03C2"/>
    <w:rsid w:val="00DF2E68"/>
    <w:rsid w:val="00E0707A"/>
    <w:rsid w:val="00E56CDE"/>
    <w:rsid w:val="00E60A1F"/>
    <w:rsid w:val="00EC1777"/>
    <w:rsid w:val="00EC5781"/>
    <w:rsid w:val="00EC70A9"/>
    <w:rsid w:val="00F0493D"/>
    <w:rsid w:val="00F20B33"/>
    <w:rsid w:val="00F260D3"/>
    <w:rsid w:val="00F70CA3"/>
    <w:rsid w:val="00F80623"/>
    <w:rsid w:val="00F937BE"/>
    <w:rsid w:val="00FA5613"/>
    <w:rsid w:val="00FD09CF"/>
    <w:rsid w:val="00FF28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68B8"/>
  <w15:chartTrackingRefBased/>
  <w15:docId w15:val="{27BD6FB7-D45E-415A-8BD5-1D8CF2DA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A4BC3"/>
    <w:pPr>
      <w:keepNext/>
      <w:keepLines/>
      <w:spacing w:before="360" w:after="80"/>
      <w:outlineLvl w:val="0"/>
    </w:pPr>
    <w:rPr>
      <w:rFonts w:ascii="Arial Black" w:eastAsiaTheme="majorEastAsia" w:hAnsi="Arial Black" w:cstheme="majorBidi"/>
      <w:color w:val="BF4E14" w:themeColor="accent2" w:themeShade="BF"/>
      <w:sz w:val="28"/>
      <w:szCs w:val="40"/>
    </w:rPr>
  </w:style>
  <w:style w:type="paragraph" w:styleId="Titre2">
    <w:name w:val="heading 2"/>
    <w:basedOn w:val="Normal"/>
    <w:next w:val="Normal"/>
    <w:link w:val="Titre2Car"/>
    <w:uiPriority w:val="9"/>
    <w:unhideWhenUsed/>
    <w:qFormat/>
    <w:rsid w:val="002D6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D695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D695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D695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D695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695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695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695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4BC3"/>
    <w:rPr>
      <w:rFonts w:ascii="Arial Black" w:eastAsiaTheme="majorEastAsia" w:hAnsi="Arial Black" w:cstheme="majorBidi"/>
      <w:color w:val="BF4E14" w:themeColor="accent2" w:themeShade="BF"/>
      <w:sz w:val="28"/>
      <w:szCs w:val="40"/>
    </w:rPr>
  </w:style>
  <w:style w:type="character" w:customStyle="1" w:styleId="Titre2Car">
    <w:name w:val="Titre 2 Car"/>
    <w:basedOn w:val="Policepardfaut"/>
    <w:link w:val="Titre2"/>
    <w:uiPriority w:val="9"/>
    <w:semiHidden/>
    <w:rsid w:val="002D695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D695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D695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D695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D69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69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69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6956"/>
    <w:rPr>
      <w:rFonts w:eastAsiaTheme="majorEastAsia" w:cstheme="majorBidi"/>
      <w:color w:val="272727" w:themeColor="text1" w:themeTint="D8"/>
    </w:rPr>
  </w:style>
  <w:style w:type="paragraph" w:styleId="Titre">
    <w:name w:val="Title"/>
    <w:basedOn w:val="Normal"/>
    <w:next w:val="Normal"/>
    <w:link w:val="TitreCar"/>
    <w:uiPriority w:val="10"/>
    <w:qFormat/>
    <w:rsid w:val="002D6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69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695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69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6956"/>
    <w:pPr>
      <w:spacing w:before="160"/>
      <w:jc w:val="center"/>
    </w:pPr>
    <w:rPr>
      <w:i/>
      <w:iCs/>
      <w:color w:val="404040" w:themeColor="text1" w:themeTint="BF"/>
    </w:rPr>
  </w:style>
  <w:style w:type="character" w:customStyle="1" w:styleId="CitationCar">
    <w:name w:val="Citation Car"/>
    <w:basedOn w:val="Policepardfaut"/>
    <w:link w:val="Citation"/>
    <w:uiPriority w:val="29"/>
    <w:rsid w:val="002D6956"/>
    <w:rPr>
      <w:i/>
      <w:iCs/>
      <w:color w:val="404040" w:themeColor="text1" w:themeTint="BF"/>
    </w:rPr>
  </w:style>
  <w:style w:type="paragraph" w:styleId="Paragraphedeliste">
    <w:name w:val="List Paragraph"/>
    <w:basedOn w:val="Normal"/>
    <w:uiPriority w:val="34"/>
    <w:qFormat/>
    <w:rsid w:val="002D6956"/>
    <w:pPr>
      <w:ind w:left="720"/>
      <w:contextualSpacing/>
    </w:pPr>
  </w:style>
  <w:style w:type="character" w:styleId="Accentuationintense">
    <w:name w:val="Intense Emphasis"/>
    <w:basedOn w:val="Policepardfaut"/>
    <w:uiPriority w:val="21"/>
    <w:qFormat/>
    <w:rsid w:val="002D6956"/>
    <w:rPr>
      <w:i/>
      <w:iCs/>
      <w:color w:val="0F4761" w:themeColor="accent1" w:themeShade="BF"/>
    </w:rPr>
  </w:style>
  <w:style w:type="paragraph" w:styleId="Citationintense">
    <w:name w:val="Intense Quote"/>
    <w:basedOn w:val="Normal"/>
    <w:next w:val="Normal"/>
    <w:link w:val="CitationintenseCar"/>
    <w:uiPriority w:val="30"/>
    <w:qFormat/>
    <w:rsid w:val="002D6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D6956"/>
    <w:rPr>
      <w:i/>
      <w:iCs/>
      <w:color w:val="0F4761" w:themeColor="accent1" w:themeShade="BF"/>
    </w:rPr>
  </w:style>
  <w:style w:type="character" w:styleId="Rfrenceintense">
    <w:name w:val="Intense Reference"/>
    <w:basedOn w:val="Policepardfaut"/>
    <w:uiPriority w:val="32"/>
    <w:qFormat/>
    <w:rsid w:val="002D6956"/>
    <w:rPr>
      <w:b/>
      <w:bCs/>
      <w:smallCaps/>
      <w:color w:val="0F4761" w:themeColor="accent1" w:themeShade="BF"/>
      <w:spacing w:val="5"/>
    </w:rPr>
  </w:style>
  <w:style w:type="character" w:customStyle="1" w:styleId="normaltextrun">
    <w:name w:val="normaltextrun"/>
    <w:basedOn w:val="Policepardfaut"/>
    <w:rsid w:val="00A30959"/>
  </w:style>
  <w:style w:type="paragraph" w:customStyle="1" w:styleId="paragraph">
    <w:name w:val="paragraph"/>
    <w:basedOn w:val="Normal"/>
    <w:rsid w:val="006155FA"/>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eop">
    <w:name w:val="eop"/>
    <w:basedOn w:val="Policepardfaut"/>
    <w:rsid w:val="006155FA"/>
  </w:style>
  <w:style w:type="character" w:customStyle="1" w:styleId="Aucun">
    <w:name w:val="Aucun"/>
    <w:rsid w:val="006155FA"/>
  </w:style>
  <w:style w:type="character" w:customStyle="1" w:styleId="AucunA">
    <w:name w:val="Aucun A"/>
    <w:basedOn w:val="Aucun"/>
    <w:rsid w:val="006155FA"/>
  </w:style>
  <w:style w:type="paragraph" w:customStyle="1" w:styleId="CorpsB">
    <w:name w:val="Corps B"/>
    <w:rsid w:val="006155FA"/>
    <w:pPr>
      <w:pBdr>
        <w:top w:val="nil"/>
        <w:left w:val="nil"/>
        <w:bottom w:val="nil"/>
        <w:right w:val="nil"/>
        <w:between w:val="nil"/>
        <w:bar w:val="nil"/>
      </w:pBdr>
      <w:spacing w:after="0" w:line="240" w:lineRule="auto"/>
    </w:pPr>
    <w:rPr>
      <w:rFonts w:ascii="Arial" w:eastAsia="Arial Unicode MS" w:hAnsi="Arial" w:cs="Arial Unicode MS"/>
      <w:color w:val="000000"/>
      <w:kern w:val="0"/>
      <w:u w:color="000000"/>
      <w:bdr w:val="nil"/>
      <w:lang w:eastAsia="fr-FR"/>
      <w14:textOutline w14:w="12700" w14:cap="flat" w14:cmpd="sng" w14:algn="ctr">
        <w14:noFill/>
        <w14:prstDash w14:val="solid"/>
        <w14:miter w14:lim="400000"/>
      </w14:textOutline>
      <w14:ligatures w14:val="none"/>
    </w:rPr>
  </w:style>
  <w:style w:type="numbering" w:customStyle="1" w:styleId="Style1import">
    <w:name w:val="Style 1 importé"/>
    <w:rsid w:val="006155FA"/>
    <w:pPr>
      <w:numPr>
        <w:numId w:val="2"/>
      </w:numPr>
    </w:pPr>
  </w:style>
  <w:style w:type="numbering" w:customStyle="1" w:styleId="Style2import">
    <w:name w:val="Style 2 importé"/>
    <w:rsid w:val="006155FA"/>
    <w:pPr>
      <w:numPr>
        <w:numId w:val="3"/>
      </w:numPr>
    </w:pPr>
  </w:style>
  <w:style w:type="paragraph" w:styleId="En-tte">
    <w:name w:val="header"/>
    <w:link w:val="En-tteCar"/>
    <w:rsid w:val="006155F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bdr w:val="nil"/>
      <w:lang w:eastAsia="fr-FR"/>
      <w14:textOutline w14:w="0" w14:cap="flat" w14:cmpd="sng" w14:algn="ctr">
        <w14:noFill/>
        <w14:prstDash w14:val="solid"/>
        <w14:bevel/>
      </w14:textOutline>
      <w14:ligatures w14:val="none"/>
    </w:rPr>
  </w:style>
  <w:style w:type="character" w:customStyle="1" w:styleId="En-tteCar">
    <w:name w:val="En-tête Car"/>
    <w:basedOn w:val="Policepardfaut"/>
    <w:link w:val="En-tte"/>
    <w:rsid w:val="006155FA"/>
    <w:rPr>
      <w:rFonts w:ascii="Helvetica Neue" w:eastAsia="Arial Unicode MS" w:hAnsi="Helvetica Neue" w:cs="Arial Unicode MS"/>
      <w:color w:val="000000"/>
      <w:kern w:val="0"/>
      <w:bdr w:val="nil"/>
      <w:lang w:eastAsia="fr-FR"/>
      <w14:textOutline w14:w="0" w14:cap="flat" w14:cmpd="sng" w14:algn="ctr">
        <w14:noFill/>
        <w14:prstDash w14:val="solid"/>
        <w14:bevel/>
      </w14:textOutline>
      <w14:ligatures w14:val="none"/>
    </w:rPr>
  </w:style>
  <w:style w:type="numbering" w:customStyle="1" w:styleId="Style3import">
    <w:name w:val="Style 3 importé"/>
    <w:rsid w:val="00AA1BCB"/>
    <w:pPr>
      <w:numPr>
        <w:numId w:val="6"/>
      </w:numPr>
    </w:pPr>
  </w:style>
  <w:style w:type="paragraph" w:styleId="Notedebasdepage">
    <w:name w:val="footnote text"/>
    <w:basedOn w:val="Normal"/>
    <w:link w:val="NotedebasdepageCar"/>
    <w:unhideWhenUsed/>
    <w:rsid w:val="002F57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5752"/>
    <w:rPr>
      <w:sz w:val="20"/>
      <w:szCs w:val="20"/>
    </w:rPr>
  </w:style>
  <w:style w:type="character" w:styleId="Appelnotedebasdep">
    <w:name w:val="footnote reference"/>
    <w:basedOn w:val="Policepardfaut"/>
    <w:uiPriority w:val="99"/>
    <w:semiHidden/>
    <w:unhideWhenUsed/>
    <w:rsid w:val="002F5752"/>
    <w:rPr>
      <w:vertAlign w:val="superscript"/>
    </w:rPr>
  </w:style>
  <w:style w:type="numbering" w:customStyle="1" w:styleId="Style3import0">
    <w:name w:val="Style 3 importé.0"/>
    <w:rsid w:val="002F5752"/>
    <w:pPr>
      <w:numPr>
        <w:numId w:val="8"/>
      </w:numPr>
    </w:pPr>
  </w:style>
  <w:style w:type="character" w:customStyle="1" w:styleId="Hyperlink8">
    <w:name w:val="Hyperlink.8"/>
    <w:basedOn w:val="Aucun"/>
    <w:rsid w:val="002F5752"/>
    <w:rPr>
      <w:u w:val="single" w:color="0000FF"/>
      <w:lang w:val="fr-FR"/>
    </w:rPr>
  </w:style>
  <w:style w:type="character" w:styleId="Lienhypertexte">
    <w:name w:val="Hyperlink"/>
    <w:basedOn w:val="Policepardfaut"/>
    <w:uiPriority w:val="99"/>
    <w:unhideWhenUsed/>
    <w:rsid w:val="002B2130"/>
    <w:rPr>
      <w:color w:val="467886" w:themeColor="hyperlink"/>
      <w:u w:val="single"/>
    </w:rPr>
  </w:style>
  <w:style w:type="character" w:styleId="Mentionnonrsolue">
    <w:name w:val="Unresolved Mention"/>
    <w:basedOn w:val="Policepardfaut"/>
    <w:uiPriority w:val="99"/>
    <w:semiHidden/>
    <w:unhideWhenUsed/>
    <w:rsid w:val="002B2130"/>
    <w:rPr>
      <w:color w:val="605E5C"/>
      <w:shd w:val="clear" w:color="auto" w:fill="E1DFDD"/>
    </w:rPr>
  </w:style>
  <w:style w:type="character" w:styleId="Marquedecommentaire">
    <w:name w:val="annotation reference"/>
    <w:basedOn w:val="Policepardfaut"/>
    <w:uiPriority w:val="99"/>
    <w:semiHidden/>
    <w:unhideWhenUsed/>
    <w:rsid w:val="0060119D"/>
    <w:rPr>
      <w:sz w:val="16"/>
      <w:szCs w:val="16"/>
    </w:rPr>
  </w:style>
  <w:style w:type="paragraph" w:styleId="Commentaire">
    <w:name w:val="annotation text"/>
    <w:basedOn w:val="Normal"/>
    <w:link w:val="CommentaireCar"/>
    <w:uiPriority w:val="99"/>
    <w:unhideWhenUsed/>
    <w:rsid w:val="0060119D"/>
    <w:pPr>
      <w:spacing w:line="240" w:lineRule="auto"/>
    </w:pPr>
    <w:rPr>
      <w:sz w:val="20"/>
      <w:szCs w:val="20"/>
    </w:rPr>
  </w:style>
  <w:style w:type="character" w:customStyle="1" w:styleId="CommentaireCar">
    <w:name w:val="Commentaire Car"/>
    <w:basedOn w:val="Policepardfaut"/>
    <w:link w:val="Commentaire"/>
    <w:uiPriority w:val="99"/>
    <w:rsid w:val="0060119D"/>
    <w:rPr>
      <w:sz w:val="20"/>
      <w:szCs w:val="20"/>
    </w:rPr>
  </w:style>
  <w:style w:type="paragraph" w:styleId="Objetducommentaire">
    <w:name w:val="annotation subject"/>
    <w:basedOn w:val="Commentaire"/>
    <w:next w:val="Commentaire"/>
    <w:link w:val="ObjetducommentaireCar"/>
    <w:uiPriority w:val="99"/>
    <w:semiHidden/>
    <w:unhideWhenUsed/>
    <w:rsid w:val="0060119D"/>
    <w:rPr>
      <w:b/>
      <w:bCs/>
    </w:rPr>
  </w:style>
  <w:style w:type="character" w:customStyle="1" w:styleId="ObjetducommentaireCar">
    <w:name w:val="Objet du commentaire Car"/>
    <w:basedOn w:val="CommentaireCar"/>
    <w:link w:val="Objetducommentaire"/>
    <w:uiPriority w:val="99"/>
    <w:semiHidden/>
    <w:rsid w:val="006011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33104">
      <w:bodyDiv w:val="1"/>
      <w:marLeft w:val="0"/>
      <w:marRight w:val="0"/>
      <w:marTop w:val="0"/>
      <w:marBottom w:val="0"/>
      <w:divBdr>
        <w:top w:val="none" w:sz="0" w:space="0" w:color="auto"/>
        <w:left w:val="none" w:sz="0" w:space="0" w:color="auto"/>
        <w:bottom w:val="none" w:sz="0" w:space="0" w:color="auto"/>
        <w:right w:val="none" w:sz="0" w:space="0" w:color="auto"/>
      </w:divBdr>
    </w:div>
    <w:div w:id="376854629">
      <w:bodyDiv w:val="1"/>
      <w:marLeft w:val="0"/>
      <w:marRight w:val="0"/>
      <w:marTop w:val="0"/>
      <w:marBottom w:val="0"/>
      <w:divBdr>
        <w:top w:val="none" w:sz="0" w:space="0" w:color="auto"/>
        <w:left w:val="none" w:sz="0" w:space="0" w:color="auto"/>
        <w:bottom w:val="none" w:sz="0" w:space="0" w:color="auto"/>
        <w:right w:val="none" w:sz="0" w:space="0" w:color="auto"/>
      </w:divBdr>
    </w:div>
    <w:div w:id="541987563">
      <w:bodyDiv w:val="1"/>
      <w:marLeft w:val="0"/>
      <w:marRight w:val="0"/>
      <w:marTop w:val="0"/>
      <w:marBottom w:val="0"/>
      <w:divBdr>
        <w:top w:val="none" w:sz="0" w:space="0" w:color="auto"/>
        <w:left w:val="none" w:sz="0" w:space="0" w:color="auto"/>
        <w:bottom w:val="none" w:sz="0" w:space="0" w:color="auto"/>
        <w:right w:val="none" w:sz="0" w:space="0" w:color="auto"/>
      </w:divBdr>
    </w:div>
    <w:div w:id="651980289">
      <w:bodyDiv w:val="1"/>
      <w:marLeft w:val="0"/>
      <w:marRight w:val="0"/>
      <w:marTop w:val="0"/>
      <w:marBottom w:val="0"/>
      <w:divBdr>
        <w:top w:val="none" w:sz="0" w:space="0" w:color="auto"/>
        <w:left w:val="none" w:sz="0" w:space="0" w:color="auto"/>
        <w:bottom w:val="none" w:sz="0" w:space="0" w:color="auto"/>
        <w:right w:val="none" w:sz="0" w:space="0" w:color="auto"/>
      </w:divBdr>
    </w:div>
    <w:div w:id="893276481">
      <w:bodyDiv w:val="1"/>
      <w:marLeft w:val="0"/>
      <w:marRight w:val="0"/>
      <w:marTop w:val="0"/>
      <w:marBottom w:val="0"/>
      <w:divBdr>
        <w:top w:val="none" w:sz="0" w:space="0" w:color="auto"/>
        <w:left w:val="none" w:sz="0" w:space="0" w:color="auto"/>
        <w:bottom w:val="none" w:sz="0" w:space="0" w:color="auto"/>
        <w:right w:val="none" w:sz="0" w:space="0" w:color="auto"/>
      </w:divBdr>
    </w:div>
    <w:div w:id="1216742205">
      <w:bodyDiv w:val="1"/>
      <w:marLeft w:val="0"/>
      <w:marRight w:val="0"/>
      <w:marTop w:val="0"/>
      <w:marBottom w:val="0"/>
      <w:divBdr>
        <w:top w:val="none" w:sz="0" w:space="0" w:color="auto"/>
        <w:left w:val="none" w:sz="0" w:space="0" w:color="auto"/>
        <w:bottom w:val="none" w:sz="0" w:space="0" w:color="auto"/>
        <w:right w:val="none" w:sz="0" w:space="0" w:color="auto"/>
      </w:divBdr>
    </w:div>
    <w:div w:id="1762601791">
      <w:bodyDiv w:val="1"/>
      <w:marLeft w:val="0"/>
      <w:marRight w:val="0"/>
      <w:marTop w:val="0"/>
      <w:marBottom w:val="0"/>
      <w:divBdr>
        <w:top w:val="none" w:sz="0" w:space="0" w:color="auto"/>
        <w:left w:val="none" w:sz="0" w:space="0" w:color="auto"/>
        <w:bottom w:val="none" w:sz="0" w:space="0" w:color="auto"/>
        <w:right w:val="none" w:sz="0" w:space="0" w:color="auto"/>
      </w:divBdr>
    </w:div>
    <w:div w:id="1779910708">
      <w:bodyDiv w:val="1"/>
      <w:marLeft w:val="0"/>
      <w:marRight w:val="0"/>
      <w:marTop w:val="0"/>
      <w:marBottom w:val="0"/>
      <w:divBdr>
        <w:top w:val="none" w:sz="0" w:space="0" w:color="auto"/>
        <w:left w:val="none" w:sz="0" w:space="0" w:color="auto"/>
        <w:bottom w:val="none" w:sz="0" w:space="0" w:color="auto"/>
        <w:right w:val="none" w:sz="0" w:space="0" w:color="auto"/>
      </w:divBdr>
    </w:div>
    <w:div w:id="1939479057">
      <w:bodyDiv w:val="1"/>
      <w:marLeft w:val="0"/>
      <w:marRight w:val="0"/>
      <w:marTop w:val="0"/>
      <w:marBottom w:val="0"/>
      <w:divBdr>
        <w:top w:val="none" w:sz="0" w:space="0" w:color="auto"/>
        <w:left w:val="none" w:sz="0" w:space="0" w:color="auto"/>
        <w:bottom w:val="none" w:sz="0" w:space="0" w:color="auto"/>
        <w:right w:val="none" w:sz="0" w:space="0" w:color="auto"/>
      </w:divBdr>
    </w:div>
    <w:div w:id="21344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aveuglesdefrance.org/nos-formations/formations-qualifiantes/formation-des-instructeurs-pour-lautonomie-des-personnes-deficientes-visuelles-2/" TargetMode="External"/><Relationship Id="rId1" Type="http://schemas.openxmlformats.org/officeDocument/2006/relationships/hyperlink" Target="https://aveuglesdefrance.org/app/uploads/2024/07/Cahier-thematique-60-ans-et-plu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72F28-2E6C-4664-BF9C-D6EC00ABD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1856</Words>
  <Characters>10208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DE-GRESLAN Marie-May</dc:creator>
  <cp:keywords/>
  <dc:description/>
  <cp:lastModifiedBy>DE-GRESLAN Marie-May</cp:lastModifiedBy>
  <cp:revision>16</cp:revision>
  <dcterms:created xsi:type="dcterms:W3CDTF">2025-02-13T16:33:00Z</dcterms:created>
  <dcterms:modified xsi:type="dcterms:W3CDTF">2025-08-04T15:16:00Z</dcterms:modified>
</cp:coreProperties>
</file>