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1847B" w14:textId="77777777" w:rsidR="00797E82" w:rsidRPr="009E31C0" w:rsidRDefault="00797E82" w:rsidP="0059238C">
      <w:pPr>
        <w:pStyle w:val="Titre1"/>
        <w:jc w:val="center"/>
        <w:rPr>
          <w:b/>
          <w:bCs/>
          <w:color w:val="7030A0"/>
        </w:rPr>
      </w:pPr>
      <w:r w:rsidRPr="009E31C0">
        <w:rPr>
          <w:b/>
          <w:bCs/>
          <w:color w:val="7030A0"/>
        </w:rPr>
        <w:t>Pour une société pleinement accessible aux personnes aveugles ou malvoyantes</w:t>
      </w:r>
    </w:p>
    <w:p w14:paraId="68F873F7" w14:textId="77777777" w:rsidR="00797E82" w:rsidRPr="009E31C0" w:rsidRDefault="00797E82" w:rsidP="009E31C0">
      <w:pPr>
        <w:pStyle w:val="Titre2"/>
      </w:pPr>
      <w:r w:rsidRPr="009E31C0">
        <w:t>Garantir l’accès aux aides techniques</w:t>
      </w:r>
    </w:p>
    <w:p w14:paraId="7B5089B8" w14:textId="77777777" w:rsidR="00797E82" w:rsidRPr="009E31C0" w:rsidRDefault="00797E82" w:rsidP="009E31C0">
      <w:pPr>
        <w:pStyle w:val="Titre3"/>
      </w:pPr>
      <w:r w:rsidRPr="009E31C0">
        <w:t>Donner à chacun les moyens de son autonomie</w:t>
      </w:r>
    </w:p>
    <w:p w14:paraId="326F2443" w14:textId="2C90BAC1" w:rsidR="001C4423" w:rsidRPr="005143AD" w:rsidRDefault="001C4423" w:rsidP="005143AD">
      <w:pPr>
        <w:rPr>
          <w:rFonts w:ascii="Aptos" w:eastAsiaTheme="minorEastAsia" w:hAnsi="Aptos" w:cstheme="majorBidi"/>
        </w:rPr>
      </w:pPr>
      <w:r w:rsidRPr="005143AD">
        <w:rPr>
          <w:rFonts w:ascii="Aptos" w:eastAsiaTheme="minorEastAsia" w:hAnsi="Aptos" w:cstheme="majorBidi"/>
        </w:rPr>
        <w:t>Plages braille, loupes électroniques, équipements et logiciels adaptés jouent un rôle essentiel dans l’autonomie des personnes aveugles ou malvoyantes. Pourtant, leur coût et les disparités de prise en charge constituent encore un frein majeur.</w:t>
      </w:r>
    </w:p>
    <w:p w14:paraId="26A71C06" w14:textId="1D9D6D5D" w:rsidR="001C4423" w:rsidRPr="009E31C0" w:rsidRDefault="001C4423" w:rsidP="009E31C0">
      <w:pPr>
        <w:pStyle w:val="Titre4"/>
      </w:pPr>
      <w:r w:rsidRPr="009E31C0">
        <w:t>Nos propositions :</w:t>
      </w:r>
    </w:p>
    <w:p w14:paraId="73EAD8AF" w14:textId="77777777" w:rsidR="001C4423" w:rsidRPr="005143AD" w:rsidRDefault="001C4423" w:rsidP="005143AD">
      <w:pPr>
        <w:pStyle w:val="Paragraphedeliste"/>
        <w:numPr>
          <w:ilvl w:val="0"/>
          <w:numId w:val="13"/>
        </w:numPr>
        <w:rPr>
          <w:rFonts w:ascii="Aptos" w:hAnsi="Aptos" w:cstheme="majorBidi"/>
        </w:rPr>
      </w:pPr>
      <w:r w:rsidRPr="005143AD">
        <w:rPr>
          <w:rFonts w:ascii="Aptos" w:hAnsi="Aptos" w:cstheme="majorBidi"/>
        </w:rPr>
        <w:t>Étendre la prise en charge des aides techniques par l’Assurance maladie ;</w:t>
      </w:r>
    </w:p>
    <w:p w14:paraId="1387AEDB" w14:textId="77777777" w:rsidR="001C4423" w:rsidRPr="005143AD" w:rsidRDefault="001C4423" w:rsidP="005143AD">
      <w:pPr>
        <w:pStyle w:val="Paragraphedeliste"/>
        <w:numPr>
          <w:ilvl w:val="0"/>
          <w:numId w:val="13"/>
        </w:numPr>
        <w:rPr>
          <w:rFonts w:ascii="Aptos" w:hAnsi="Aptos" w:cstheme="majorBidi"/>
        </w:rPr>
      </w:pPr>
      <w:r w:rsidRPr="005143AD">
        <w:rPr>
          <w:rFonts w:ascii="Aptos" w:hAnsi="Aptos" w:cstheme="majorBidi"/>
        </w:rPr>
        <w:t>Actualiser régulièrement la liste des équipements remboursables pour suivre les évolutions technologiques ;</w:t>
      </w:r>
    </w:p>
    <w:p w14:paraId="574BD602" w14:textId="77777777" w:rsidR="001C4423" w:rsidRPr="005143AD" w:rsidRDefault="001C4423" w:rsidP="005143AD">
      <w:pPr>
        <w:pStyle w:val="Paragraphedeliste"/>
        <w:numPr>
          <w:ilvl w:val="0"/>
          <w:numId w:val="13"/>
        </w:numPr>
        <w:rPr>
          <w:rFonts w:ascii="Aptos" w:hAnsi="Aptos" w:cstheme="majorBidi"/>
        </w:rPr>
      </w:pPr>
      <w:r w:rsidRPr="005143AD">
        <w:rPr>
          <w:rFonts w:ascii="Aptos" w:hAnsi="Aptos" w:cstheme="majorBidi"/>
        </w:rPr>
        <w:t>Harmoniser les pratiques au niveau national afin de réduire les inégalités territoriales.</w:t>
      </w:r>
    </w:p>
    <w:p w14:paraId="53D0CFFF" w14:textId="77777777" w:rsidR="005143AD" w:rsidRPr="009E31C0" w:rsidRDefault="005143AD" w:rsidP="009E31C0">
      <w:pPr>
        <w:pStyle w:val="Titre3"/>
      </w:pPr>
      <w:r w:rsidRPr="009E31C0">
        <w:t>Une réadaptation accessible partout, pour toutes et tous</w:t>
      </w:r>
    </w:p>
    <w:p w14:paraId="0CC83A6A" w14:textId="77777777" w:rsidR="005143AD" w:rsidRPr="005143AD" w:rsidRDefault="005143AD" w:rsidP="005143AD">
      <w:pPr>
        <w:rPr>
          <w:rFonts w:ascii="Aptos" w:eastAsiaTheme="minorEastAsia" w:hAnsi="Aptos" w:cstheme="majorBidi"/>
        </w:rPr>
      </w:pPr>
      <w:r w:rsidRPr="005143AD">
        <w:rPr>
          <w:rFonts w:ascii="Aptos" w:eastAsiaTheme="minorEastAsia" w:hAnsi="Aptos" w:cstheme="majorBidi"/>
        </w:rPr>
        <w:t>L’accès aux services de réadaptation reste très inégal selon les territoires, alors qu’ils sont déterminants pour retrouver ou préserver son autonomie.</w:t>
      </w:r>
    </w:p>
    <w:p w14:paraId="7875A0A3" w14:textId="6A3C1B49" w:rsidR="005143AD" w:rsidRPr="005143AD" w:rsidRDefault="005143AD" w:rsidP="009E31C0">
      <w:pPr>
        <w:pStyle w:val="Titre4"/>
        <w:rPr>
          <w:rFonts w:eastAsiaTheme="minorEastAsia"/>
        </w:rPr>
      </w:pPr>
      <w:r w:rsidRPr="005143AD">
        <w:rPr>
          <w:rFonts w:eastAsiaTheme="minorEastAsia"/>
        </w:rPr>
        <w:t>Nos propositions :</w:t>
      </w:r>
    </w:p>
    <w:p w14:paraId="53A08CE4" w14:textId="77777777" w:rsidR="005143AD" w:rsidRPr="005143AD" w:rsidRDefault="005143AD" w:rsidP="005143AD">
      <w:pPr>
        <w:pStyle w:val="Paragraphedeliste"/>
        <w:numPr>
          <w:ilvl w:val="0"/>
          <w:numId w:val="14"/>
        </w:numPr>
        <w:rPr>
          <w:rFonts w:ascii="Aptos" w:eastAsiaTheme="minorEastAsia" w:hAnsi="Aptos" w:cstheme="majorBidi"/>
        </w:rPr>
      </w:pPr>
      <w:r w:rsidRPr="005143AD">
        <w:rPr>
          <w:rFonts w:ascii="Aptos" w:eastAsiaTheme="minorEastAsia" w:hAnsi="Aptos" w:cstheme="majorBidi"/>
        </w:rPr>
        <w:t>Déployer un plan national pour renforcer la présence des instructeurs pour l’autonomie sur l’ensemble du territoire ;</w:t>
      </w:r>
    </w:p>
    <w:p w14:paraId="5149F473" w14:textId="77777777" w:rsidR="005143AD" w:rsidRPr="005143AD" w:rsidRDefault="005143AD" w:rsidP="005143AD">
      <w:pPr>
        <w:pStyle w:val="Paragraphedeliste"/>
        <w:numPr>
          <w:ilvl w:val="0"/>
          <w:numId w:val="14"/>
        </w:numPr>
        <w:rPr>
          <w:rFonts w:ascii="Aptos" w:eastAsiaTheme="minorEastAsia" w:hAnsi="Aptos" w:cstheme="majorBidi"/>
        </w:rPr>
      </w:pPr>
      <w:r w:rsidRPr="005143AD">
        <w:rPr>
          <w:rFonts w:ascii="Aptos" w:eastAsiaTheme="minorEastAsia" w:hAnsi="Aptos" w:cstheme="majorBidi"/>
        </w:rPr>
        <w:t>Élargir l’accès à la réadaptation, y compris hors notification MDPH ;</w:t>
      </w:r>
    </w:p>
    <w:p w14:paraId="1D33AFA7" w14:textId="77777777" w:rsidR="005143AD" w:rsidRPr="005143AD" w:rsidRDefault="005143AD" w:rsidP="005143AD">
      <w:pPr>
        <w:pStyle w:val="Paragraphedeliste"/>
        <w:numPr>
          <w:ilvl w:val="0"/>
          <w:numId w:val="14"/>
        </w:numPr>
        <w:rPr>
          <w:rFonts w:ascii="Aptos" w:eastAsiaTheme="minorEastAsia" w:hAnsi="Aptos" w:cstheme="majorBidi"/>
        </w:rPr>
      </w:pPr>
      <w:r w:rsidRPr="005143AD">
        <w:rPr>
          <w:rFonts w:ascii="Aptos" w:eastAsiaTheme="minorEastAsia" w:hAnsi="Aptos" w:cstheme="majorBidi"/>
        </w:rPr>
        <w:t>Garantir un financement pérenne de cette offre ;</w:t>
      </w:r>
    </w:p>
    <w:p w14:paraId="62E66545" w14:textId="77777777" w:rsidR="005143AD" w:rsidRPr="005143AD" w:rsidRDefault="005143AD" w:rsidP="005143AD">
      <w:pPr>
        <w:pStyle w:val="Paragraphedeliste"/>
        <w:numPr>
          <w:ilvl w:val="0"/>
          <w:numId w:val="14"/>
        </w:numPr>
        <w:rPr>
          <w:rFonts w:ascii="Aptos" w:eastAsiaTheme="minorEastAsia" w:hAnsi="Aptos" w:cstheme="majorBidi"/>
        </w:rPr>
      </w:pPr>
      <w:r w:rsidRPr="005143AD">
        <w:rPr>
          <w:rFonts w:ascii="Aptos" w:eastAsiaTheme="minorEastAsia" w:hAnsi="Aptos" w:cstheme="majorBidi"/>
        </w:rPr>
        <w:t>Intégrer systématiquement la réadaptation aux parcours médico-sociaux.</w:t>
      </w:r>
    </w:p>
    <w:p w14:paraId="0F8D988F" w14:textId="77777777" w:rsidR="005143AD" w:rsidRPr="005143AD" w:rsidRDefault="005143AD" w:rsidP="009E31C0">
      <w:pPr>
        <w:pStyle w:val="Titre3"/>
        <w:rPr>
          <w:rFonts w:eastAsiaTheme="minorEastAsia"/>
        </w:rPr>
      </w:pPr>
      <w:r w:rsidRPr="005143AD">
        <w:rPr>
          <w:rFonts w:eastAsiaTheme="minorEastAsia"/>
        </w:rPr>
        <w:t>Prévenir la perte d’autonomie dès les premiers signes</w:t>
      </w:r>
    </w:p>
    <w:p w14:paraId="46224E69" w14:textId="77777777" w:rsidR="005143AD" w:rsidRPr="005143AD" w:rsidRDefault="005143AD" w:rsidP="005143AD">
      <w:pPr>
        <w:rPr>
          <w:rFonts w:ascii="Aptos" w:eastAsiaTheme="minorEastAsia" w:hAnsi="Aptos" w:cstheme="majorBidi"/>
        </w:rPr>
      </w:pPr>
      <w:r w:rsidRPr="005143AD">
        <w:rPr>
          <w:rFonts w:ascii="Aptos" w:eastAsiaTheme="minorEastAsia" w:hAnsi="Aptos" w:cstheme="majorBidi"/>
        </w:rPr>
        <w:t>Avec l’avancée en âge, les troubles visuels peuvent accélérer la perte d’autonomie, les risques de chute et l’isolement. Leur repérage doit devenir un réflexe.</w:t>
      </w:r>
    </w:p>
    <w:p w14:paraId="2D26EF48" w14:textId="7DD45989" w:rsidR="005143AD" w:rsidRPr="005143AD" w:rsidRDefault="005143AD" w:rsidP="009E31C0">
      <w:pPr>
        <w:pStyle w:val="Titre4"/>
        <w:rPr>
          <w:rFonts w:eastAsiaTheme="minorEastAsia"/>
        </w:rPr>
      </w:pPr>
      <w:r w:rsidRPr="005143AD">
        <w:rPr>
          <w:rFonts w:eastAsiaTheme="minorEastAsia"/>
        </w:rPr>
        <w:lastRenderedPageBreak/>
        <w:t>Nos propositions :</w:t>
      </w:r>
    </w:p>
    <w:p w14:paraId="49B66E87" w14:textId="77777777" w:rsidR="005143AD" w:rsidRPr="005143AD" w:rsidRDefault="005143AD" w:rsidP="005143AD">
      <w:pPr>
        <w:pStyle w:val="Paragraphedeliste"/>
        <w:numPr>
          <w:ilvl w:val="0"/>
          <w:numId w:val="15"/>
        </w:numPr>
        <w:rPr>
          <w:rFonts w:ascii="Aptos" w:eastAsiaTheme="minorEastAsia" w:hAnsi="Aptos" w:cstheme="majorBidi"/>
        </w:rPr>
      </w:pPr>
      <w:r w:rsidRPr="005143AD">
        <w:rPr>
          <w:rFonts w:ascii="Aptos" w:eastAsiaTheme="minorEastAsia" w:hAnsi="Aptos" w:cstheme="majorBidi"/>
        </w:rPr>
        <w:t>Mettre en place un dépistage visuel systématique à domicile et à l’entrée en établissement ;</w:t>
      </w:r>
    </w:p>
    <w:p w14:paraId="76BB14EB" w14:textId="77777777" w:rsidR="005143AD" w:rsidRPr="005143AD" w:rsidRDefault="005143AD" w:rsidP="005143AD">
      <w:pPr>
        <w:pStyle w:val="Paragraphedeliste"/>
        <w:numPr>
          <w:ilvl w:val="0"/>
          <w:numId w:val="15"/>
        </w:numPr>
        <w:rPr>
          <w:rFonts w:ascii="Aptos" w:eastAsiaTheme="minorEastAsia" w:hAnsi="Aptos" w:cstheme="majorBidi"/>
        </w:rPr>
      </w:pPr>
      <w:r w:rsidRPr="005143AD">
        <w:rPr>
          <w:rFonts w:ascii="Aptos" w:eastAsiaTheme="minorEastAsia" w:hAnsi="Aptos" w:cstheme="majorBidi"/>
        </w:rPr>
        <w:t>Former les professionnels du grand âge au handicap visuel ;</w:t>
      </w:r>
    </w:p>
    <w:p w14:paraId="4353C21D" w14:textId="22AA138B" w:rsidR="005143AD" w:rsidRPr="0059238C" w:rsidRDefault="005143AD" w:rsidP="005143AD">
      <w:pPr>
        <w:pStyle w:val="Paragraphedeliste"/>
        <w:numPr>
          <w:ilvl w:val="0"/>
          <w:numId w:val="15"/>
        </w:numPr>
        <w:rPr>
          <w:rFonts w:ascii="Aptos" w:eastAsiaTheme="minorEastAsia" w:hAnsi="Aptos" w:cstheme="majorBidi"/>
        </w:rPr>
      </w:pPr>
      <w:r w:rsidRPr="005143AD">
        <w:rPr>
          <w:rFonts w:ascii="Aptos" w:eastAsiaTheme="minorEastAsia" w:hAnsi="Aptos" w:cstheme="majorBidi"/>
        </w:rPr>
        <w:t>Développer les actions de prévention contre les chutes, l’isolement et la perte d’autonomie.</w:t>
      </w:r>
    </w:p>
    <w:p w14:paraId="2E24C886" w14:textId="60663A51" w:rsidR="005143AD" w:rsidRPr="0059238C" w:rsidRDefault="005143AD" w:rsidP="009E31C0">
      <w:pPr>
        <w:pStyle w:val="Titre2"/>
        <w:rPr>
          <w:rFonts w:eastAsiaTheme="minorEastAsia"/>
        </w:rPr>
      </w:pPr>
      <w:r>
        <w:rPr>
          <w:rFonts w:eastAsiaTheme="minorEastAsia"/>
        </w:rPr>
        <w:t xml:space="preserve">Favoriser l’accès à l’emploi </w:t>
      </w:r>
    </w:p>
    <w:p w14:paraId="438AD78E" w14:textId="77777777" w:rsidR="00391DB2" w:rsidRPr="00391DB2" w:rsidRDefault="00391DB2" w:rsidP="009E31C0">
      <w:pPr>
        <w:pStyle w:val="Titre3"/>
        <w:rPr>
          <w:rFonts w:eastAsiaTheme="minorEastAsia"/>
        </w:rPr>
      </w:pPr>
      <w:r w:rsidRPr="00391DB2">
        <w:rPr>
          <w:rFonts w:eastAsiaTheme="minorEastAsia"/>
        </w:rPr>
        <w:t>Des outils de travail accessibles pour pouvoir travailler comme tout le monde</w:t>
      </w:r>
    </w:p>
    <w:p w14:paraId="407C3921" w14:textId="77777777" w:rsidR="00391DB2" w:rsidRPr="00391DB2" w:rsidRDefault="00391DB2" w:rsidP="00391DB2">
      <w:pPr>
        <w:rPr>
          <w:rFonts w:ascii="Aptos" w:eastAsiaTheme="minorEastAsia" w:hAnsi="Aptos" w:cstheme="majorBidi"/>
        </w:rPr>
      </w:pPr>
      <w:r w:rsidRPr="00391DB2">
        <w:rPr>
          <w:rFonts w:ascii="Aptos" w:eastAsiaTheme="minorEastAsia" w:hAnsi="Aptos" w:cstheme="majorBidi"/>
        </w:rPr>
        <w:t>Progiciels métiers, outils bureautiques, logiciels internes : leur inaccessibilité peut empêcher une personne aveugle ou malvoyante d’accéder à un emploi, d’exercer pleinement son métier ou de s’y maintenir.</w:t>
      </w:r>
    </w:p>
    <w:p w14:paraId="78A878F5" w14:textId="3B4EED48" w:rsidR="00391DB2" w:rsidRPr="00391DB2" w:rsidRDefault="0059238C" w:rsidP="009E31C0">
      <w:pPr>
        <w:pStyle w:val="Titre4"/>
        <w:rPr>
          <w:rFonts w:eastAsiaTheme="minorEastAsia"/>
        </w:rPr>
      </w:pPr>
      <w:r>
        <w:rPr>
          <w:rFonts w:eastAsiaTheme="minorEastAsia"/>
        </w:rPr>
        <w:t>Nos propositions</w:t>
      </w:r>
      <w:r w:rsidR="00391DB2" w:rsidRPr="00391DB2">
        <w:rPr>
          <w:rFonts w:eastAsiaTheme="minorEastAsia"/>
        </w:rPr>
        <w:t xml:space="preserve"> :</w:t>
      </w:r>
    </w:p>
    <w:p w14:paraId="72354444" w14:textId="77777777" w:rsidR="00391DB2" w:rsidRPr="00391DB2" w:rsidRDefault="00391DB2" w:rsidP="00391DB2">
      <w:pPr>
        <w:numPr>
          <w:ilvl w:val="0"/>
          <w:numId w:val="16"/>
        </w:numPr>
        <w:rPr>
          <w:rFonts w:ascii="Aptos" w:eastAsiaTheme="minorEastAsia" w:hAnsi="Aptos" w:cstheme="majorBidi"/>
        </w:rPr>
      </w:pPr>
      <w:r w:rsidRPr="00391DB2">
        <w:rPr>
          <w:rFonts w:ascii="Aptos" w:eastAsiaTheme="minorEastAsia" w:hAnsi="Aptos" w:cstheme="majorBidi"/>
        </w:rPr>
        <w:t>Étendre explicitement les obligations d’accessibilité numérique aux logiciels professionnels et bureautiques, dans le public comme dans le privé ;</w:t>
      </w:r>
    </w:p>
    <w:p w14:paraId="0088C8E3" w14:textId="77777777" w:rsidR="00391DB2" w:rsidRPr="00391DB2" w:rsidRDefault="00391DB2" w:rsidP="00391DB2">
      <w:pPr>
        <w:numPr>
          <w:ilvl w:val="0"/>
          <w:numId w:val="16"/>
        </w:numPr>
        <w:rPr>
          <w:rFonts w:ascii="Aptos" w:eastAsiaTheme="minorEastAsia" w:hAnsi="Aptos" w:cstheme="majorBidi"/>
        </w:rPr>
      </w:pPr>
      <w:r w:rsidRPr="00391DB2">
        <w:rPr>
          <w:rFonts w:ascii="Aptos" w:eastAsiaTheme="minorEastAsia" w:hAnsi="Aptos" w:cstheme="majorBidi"/>
        </w:rPr>
        <w:t>Introduire une condition suspensive d’accessibilité numérique dans tous les contrats publics d’achat de logiciels ;</w:t>
      </w:r>
    </w:p>
    <w:p w14:paraId="1A8F5A66" w14:textId="77777777" w:rsidR="00391DB2" w:rsidRPr="00391DB2" w:rsidRDefault="00391DB2" w:rsidP="00391DB2">
      <w:pPr>
        <w:numPr>
          <w:ilvl w:val="0"/>
          <w:numId w:val="16"/>
        </w:numPr>
        <w:rPr>
          <w:rFonts w:ascii="Aptos" w:eastAsiaTheme="minorEastAsia" w:hAnsi="Aptos" w:cstheme="majorBidi"/>
        </w:rPr>
      </w:pPr>
      <w:r w:rsidRPr="00391DB2">
        <w:rPr>
          <w:rFonts w:ascii="Aptos" w:eastAsiaTheme="minorEastAsia" w:hAnsi="Aptos" w:cstheme="majorBidi"/>
        </w:rPr>
        <w:t>Faire de la conformité aux référentiels d’accessibilité, notamment la compatibilité avec les lecteurs d’écran et la navigation au clavier, un critère obligatoire d’attribution ;</w:t>
      </w:r>
    </w:p>
    <w:p w14:paraId="088BBBCC" w14:textId="77777777" w:rsidR="00391DB2" w:rsidRPr="00391DB2" w:rsidRDefault="00391DB2" w:rsidP="00391DB2">
      <w:pPr>
        <w:numPr>
          <w:ilvl w:val="0"/>
          <w:numId w:val="16"/>
        </w:numPr>
        <w:rPr>
          <w:rFonts w:ascii="Aptos" w:eastAsiaTheme="minorEastAsia" w:hAnsi="Aptos" w:cstheme="majorBidi"/>
        </w:rPr>
      </w:pPr>
      <w:r w:rsidRPr="00391DB2">
        <w:rPr>
          <w:rFonts w:ascii="Aptos" w:eastAsiaTheme="minorEastAsia" w:hAnsi="Aptos" w:cstheme="majorBidi"/>
        </w:rPr>
        <w:t>Imposer aux éditeurs une déclaration d’accessibilité opposable, accompagnée d’un calendrier de mise en conformité ;</w:t>
      </w:r>
    </w:p>
    <w:p w14:paraId="73B03DB0" w14:textId="77777777" w:rsidR="00391DB2" w:rsidRPr="00391DB2" w:rsidRDefault="00391DB2" w:rsidP="00391DB2">
      <w:pPr>
        <w:numPr>
          <w:ilvl w:val="0"/>
          <w:numId w:val="16"/>
        </w:numPr>
        <w:rPr>
          <w:rFonts w:ascii="Aptos" w:eastAsiaTheme="minorEastAsia" w:hAnsi="Aptos" w:cstheme="majorBidi"/>
        </w:rPr>
      </w:pPr>
      <w:r w:rsidRPr="00391DB2">
        <w:rPr>
          <w:rFonts w:ascii="Aptos" w:eastAsiaTheme="minorEastAsia" w:hAnsi="Aptos" w:cstheme="majorBidi"/>
        </w:rPr>
        <w:t>Créer un label d’accessibilité des logiciels professionnels.</w:t>
      </w:r>
    </w:p>
    <w:p w14:paraId="4B3B7073" w14:textId="77777777" w:rsidR="00391DB2" w:rsidRPr="00391DB2" w:rsidRDefault="00391DB2" w:rsidP="009E31C0">
      <w:pPr>
        <w:pStyle w:val="Titre3"/>
        <w:rPr>
          <w:rFonts w:eastAsiaTheme="minorEastAsia"/>
        </w:rPr>
      </w:pPr>
      <w:r w:rsidRPr="00391DB2">
        <w:rPr>
          <w:rFonts w:eastAsiaTheme="minorEastAsia"/>
        </w:rPr>
        <w:t>Un accompagnement vers l’emploi qui prend vraiment en compte le handicap visuel</w:t>
      </w:r>
    </w:p>
    <w:p w14:paraId="4255D667" w14:textId="77777777" w:rsidR="00391DB2" w:rsidRPr="00391DB2" w:rsidRDefault="00391DB2" w:rsidP="00391DB2">
      <w:pPr>
        <w:rPr>
          <w:rFonts w:ascii="Aptos" w:eastAsiaTheme="minorEastAsia" w:hAnsi="Aptos" w:cstheme="majorBidi"/>
        </w:rPr>
      </w:pPr>
      <w:r w:rsidRPr="00391DB2">
        <w:rPr>
          <w:rFonts w:ascii="Aptos" w:eastAsiaTheme="minorEastAsia" w:hAnsi="Aptos" w:cstheme="majorBidi"/>
        </w:rPr>
        <w:t>L’emploi accompagné est un levier précieux, mais les spécificités du handicap visuel, de l’adaptation du poste à l’accessibilité numérique, doivent être mieux intégrées.</w:t>
      </w:r>
    </w:p>
    <w:p w14:paraId="720EF319" w14:textId="22A32F49" w:rsidR="00391DB2" w:rsidRPr="00391DB2" w:rsidRDefault="0059238C" w:rsidP="009E31C0">
      <w:pPr>
        <w:pStyle w:val="Titre4"/>
        <w:rPr>
          <w:rFonts w:eastAsiaTheme="minorEastAsia"/>
        </w:rPr>
      </w:pPr>
      <w:r>
        <w:rPr>
          <w:rFonts w:eastAsiaTheme="minorEastAsia"/>
        </w:rPr>
        <w:t>Nos propositions</w:t>
      </w:r>
      <w:r w:rsidR="00391DB2" w:rsidRPr="00391DB2">
        <w:rPr>
          <w:rFonts w:eastAsiaTheme="minorEastAsia"/>
        </w:rPr>
        <w:t xml:space="preserve"> :</w:t>
      </w:r>
    </w:p>
    <w:p w14:paraId="42910370" w14:textId="77777777" w:rsidR="00391DB2" w:rsidRPr="00391DB2" w:rsidRDefault="00391DB2" w:rsidP="00391DB2">
      <w:pPr>
        <w:numPr>
          <w:ilvl w:val="0"/>
          <w:numId w:val="17"/>
        </w:numPr>
        <w:rPr>
          <w:rFonts w:ascii="Aptos" w:eastAsiaTheme="minorEastAsia" w:hAnsi="Aptos" w:cstheme="majorBidi"/>
        </w:rPr>
      </w:pPr>
      <w:r w:rsidRPr="00391DB2">
        <w:rPr>
          <w:rFonts w:ascii="Aptos" w:eastAsiaTheme="minorEastAsia" w:hAnsi="Aptos" w:cstheme="majorBidi"/>
        </w:rPr>
        <w:t>Renforcer la formation des professionnels de l’emploi accompagné ;</w:t>
      </w:r>
    </w:p>
    <w:p w14:paraId="503DB52E" w14:textId="77777777" w:rsidR="00391DB2" w:rsidRPr="00391DB2" w:rsidRDefault="00391DB2" w:rsidP="00391DB2">
      <w:pPr>
        <w:numPr>
          <w:ilvl w:val="0"/>
          <w:numId w:val="17"/>
        </w:numPr>
        <w:rPr>
          <w:rFonts w:ascii="Aptos" w:eastAsiaTheme="minorEastAsia" w:hAnsi="Aptos" w:cstheme="majorBidi"/>
        </w:rPr>
      </w:pPr>
      <w:r w:rsidRPr="00391DB2">
        <w:rPr>
          <w:rFonts w:ascii="Aptos" w:eastAsiaTheme="minorEastAsia" w:hAnsi="Aptos" w:cstheme="majorBidi"/>
        </w:rPr>
        <w:lastRenderedPageBreak/>
        <w:t>Intégrer systématiquement une expertise du handicap visuel, notamment en s’appuyant sur les associations spécialisées ;</w:t>
      </w:r>
    </w:p>
    <w:p w14:paraId="6A5C8937" w14:textId="77777777" w:rsidR="00391DB2" w:rsidRPr="00391DB2" w:rsidRDefault="00391DB2" w:rsidP="00391DB2">
      <w:pPr>
        <w:numPr>
          <w:ilvl w:val="0"/>
          <w:numId w:val="17"/>
        </w:numPr>
        <w:rPr>
          <w:rFonts w:ascii="Aptos" w:eastAsiaTheme="minorEastAsia" w:hAnsi="Aptos" w:cstheme="majorBidi"/>
        </w:rPr>
      </w:pPr>
      <w:r w:rsidRPr="00391DB2">
        <w:rPr>
          <w:rFonts w:ascii="Aptos" w:eastAsiaTheme="minorEastAsia" w:hAnsi="Aptos" w:cstheme="majorBidi"/>
        </w:rPr>
        <w:t>Inclure une évaluation de l’accessibilité des outils numériques professionnels utilisés dans le poste ;</w:t>
      </w:r>
    </w:p>
    <w:p w14:paraId="2484EBD1" w14:textId="26B5428F" w:rsidR="00391DB2" w:rsidRPr="00DE43CD" w:rsidRDefault="00391DB2" w:rsidP="005143AD">
      <w:pPr>
        <w:numPr>
          <w:ilvl w:val="0"/>
          <w:numId w:val="17"/>
        </w:numPr>
        <w:rPr>
          <w:rFonts w:ascii="Aptos" w:eastAsiaTheme="minorEastAsia" w:hAnsi="Aptos" w:cstheme="majorBidi"/>
        </w:rPr>
      </w:pPr>
      <w:r w:rsidRPr="00391DB2">
        <w:rPr>
          <w:rFonts w:ascii="Aptos" w:eastAsiaTheme="minorEastAsia" w:hAnsi="Aptos" w:cstheme="majorBidi"/>
        </w:rPr>
        <w:t>Structurer les partenariats entre plateformes d’emploi accompagné et acteurs experts du handicap visuel.</w:t>
      </w:r>
    </w:p>
    <w:p w14:paraId="32809B4B" w14:textId="5F8AC282" w:rsidR="00391DB2" w:rsidRDefault="00391DB2" w:rsidP="009E31C0">
      <w:pPr>
        <w:pStyle w:val="Titre2"/>
        <w:rPr>
          <w:rFonts w:eastAsiaTheme="minorEastAsia"/>
        </w:rPr>
      </w:pPr>
      <w:r>
        <w:rPr>
          <w:rFonts w:eastAsiaTheme="minorEastAsia"/>
        </w:rPr>
        <w:t xml:space="preserve">Garantir un numérique accessible </w:t>
      </w:r>
    </w:p>
    <w:p w14:paraId="2E5D8F60" w14:textId="77777777" w:rsidR="00391DB2" w:rsidRDefault="00391DB2" w:rsidP="00391DB2">
      <w:pPr>
        <w:rPr>
          <w:rFonts w:ascii="Aptos" w:eastAsiaTheme="minorEastAsia" w:hAnsi="Aptos" w:cstheme="majorBidi"/>
        </w:rPr>
      </w:pPr>
    </w:p>
    <w:p w14:paraId="0B380EE7" w14:textId="77777777" w:rsidR="00391DB2" w:rsidRPr="00391DB2" w:rsidRDefault="00391DB2" w:rsidP="009E31C0">
      <w:pPr>
        <w:pStyle w:val="Titre3"/>
        <w:rPr>
          <w:rFonts w:eastAsiaTheme="minorEastAsia"/>
        </w:rPr>
      </w:pPr>
      <w:r w:rsidRPr="00391DB2">
        <w:rPr>
          <w:rFonts w:eastAsiaTheme="minorEastAsia"/>
        </w:rPr>
        <w:t>Faire de l’accessibilité numérique la règle, pas l’exception</w:t>
      </w:r>
    </w:p>
    <w:p w14:paraId="00A073B0" w14:textId="77777777" w:rsidR="00391DB2" w:rsidRPr="00391DB2" w:rsidRDefault="00391DB2" w:rsidP="00391DB2">
      <w:pPr>
        <w:rPr>
          <w:rFonts w:ascii="Aptos" w:eastAsiaTheme="minorEastAsia" w:hAnsi="Aptos" w:cstheme="majorBidi"/>
        </w:rPr>
      </w:pPr>
      <w:r w:rsidRPr="00391DB2">
        <w:rPr>
          <w:rFonts w:ascii="Aptos" w:eastAsiaTheme="minorEastAsia" w:hAnsi="Aptos" w:cstheme="majorBidi"/>
        </w:rPr>
        <w:t>Prendre un rendez-vous, effectuer une démarche administrative, accéder à un service ou simplement s’informer : le numérique est désormais incontournable. Pourtant, trop de sites, applications et services restent difficilement, voire totalement, inaccessibles.</w:t>
      </w:r>
    </w:p>
    <w:p w14:paraId="2682CA28" w14:textId="4F66B312" w:rsidR="00391DB2" w:rsidRPr="00391DB2" w:rsidRDefault="0059238C" w:rsidP="009E31C0">
      <w:pPr>
        <w:pStyle w:val="Titre4"/>
        <w:rPr>
          <w:rFonts w:eastAsiaTheme="minorEastAsia"/>
        </w:rPr>
      </w:pPr>
      <w:r>
        <w:rPr>
          <w:rFonts w:eastAsiaTheme="minorEastAsia"/>
        </w:rPr>
        <w:t>Nos propositions</w:t>
      </w:r>
      <w:r w:rsidR="00391DB2" w:rsidRPr="00391DB2">
        <w:rPr>
          <w:rFonts w:eastAsiaTheme="minorEastAsia"/>
        </w:rPr>
        <w:t xml:space="preserve"> :</w:t>
      </w:r>
    </w:p>
    <w:p w14:paraId="02922240" w14:textId="77777777" w:rsidR="00391DB2" w:rsidRPr="00391DB2" w:rsidRDefault="00391DB2" w:rsidP="00391DB2">
      <w:pPr>
        <w:numPr>
          <w:ilvl w:val="0"/>
          <w:numId w:val="18"/>
        </w:numPr>
        <w:rPr>
          <w:rFonts w:ascii="Aptos" w:eastAsiaTheme="minorEastAsia" w:hAnsi="Aptos" w:cstheme="majorBidi"/>
        </w:rPr>
      </w:pPr>
      <w:r w:rsidRPr="00391DB2">
        <w:rPr>
          <w:rFonts w:ascii="Aptos" w:eastAsiaTheme="minorEastAsia" w:hAnsi="Aptos" w:cstheme="majorBidi"/>
        </w:rPr>
        <w:t>Établir un calendrier public, opposable et suivi pour rendre accessibles les démarches essentielles ;</w:t>
      </w:r>
    </w:p>
    <w:p w14:paraId="3B389554" w14:textId="77777777" w:rsidR="00391DB2" w:rsidRPr="00391DB2" w:rsidRDefault="00391DB2" w:rsidP="00391DB2">
      <w:pPr>
        <w:numPr>
          <w:ilvl w:val="0"/>
          <w:numId w:val="18"/>
        </w:numPr>
        <w:rPr>
          <w:rFonts w:ascii="Aptos" w:eastAsiaTheme="minorEastAsia" w:hAnsi="Aptos" w:cstheme="majorBidi"/>
        </w:rPr>
      </w:pPr>
      <w:r w:rsidRPr="00391DB2">
        <w:rPr>
          <w:rFonts w:ascii="Aptos" w:eastAsiaTheme="minorEastAsia" w:hAnsi="Aptos" w:cstheme="majorBidi"/>
        </w:rPr>
        <w:t xml:space="preserve">Généraliser l’approche </w:t>
      </w:r>
      <w:r w:rsidRPr="00391DB2">
        <w:rPr>
          <w:rFonts w:ascii="Aptos" w:eastAsiaTheme="minorEastAsia" w:hAnsi="Aptos" w:cstheme="majorBidi"/>
          <w:i/>
          <w:iCs/>
        </w:rPr>
        <w:t>accessibilité by design</w:t>
      </w:r>
      <w:r w:rsidRPr="00391DB2">
        <w:rPr>
          <w:rFonts w:ascii="Aptos" w:eastAsiaTheme="minorEastAsia" w:hAnsi="Aptos" w:cstheme="majorBidi"/>
        </w:rPr>
        <w:t>, dès la conception des services numériques ;</w:t>
      </w:r>
    </w:p>
    <w:p w14:paraId="04C58FD3" w14:textId="77777777" w:rsidR="00391DB2" w:rsidRPr="00391DB2" w:rsidRDefault="00391DB2" w:rsidP="00391DB2">
      <w:pPr>
        <w:numPr>
          <w:ilvl w:val="0"/>
          <w:numId w:val="18"/>
        </w:numPr>
        <w:rPr>
          <w:rFonts w:ascii="Aptos" w:eastAsiaTheme="minorEastAsia" w:hAnsi="Aptos" w:cstheme="majorBidi"/>
        </w:rPr>
      </w:pPr>
      <w:r w:rsidRPr="00391DB2">
        <w:rPr>
          <w:rFonts w:ascii="Aptos" w:eastAsiaTheme="minorEastAsia" w:hAnsi="Aptos" w:cstheme="majorBidi"/>
        </w:rPr>
        <w:t>Rendre obligatoire la formation à l’accessibilité des professionnels du numérique ;</w:t>
      </w:r>
    </w:p>
    <w:p w14:paraId="2A2B4B59" w14:textId="77777777" w:rsidR="00391DB2" w:rsidRPr="00391DB2" w:rsidRDefault="00391DB2" w:rsidP="00391DB2">
      <w:pPr>
        <w:numPr>
          <w:ilvl w:val="0"/>
          <w:numId w:val="18"/>
        </w:numPr>
        <w:rPr>
          <w:rFonts w:ascii="Aptos" w:eastAsiaTheme="minorEastAsia" w:hAnsi="Aptos" w:cstheme="majorBidi"/>
        </w:rPr>
      </w:pPr>
      <w:r w:rsidRPr="00391DB2">
        <w:rPr>
          <w:rFonts w:ascii="Aptos" w:eastAsiaTheme="minorEastAsia" w:hAnsi="Aptos" w:cstheme="majorBidi"/>
        </w:rPr>
        <w:t>Renforcer les contrôles et les sanctions en cas de non-conformité ;</w:t>
      </w:r>
    </w:p>
    <w:p w14:paraId="089668AE" w14:textId="150D19BF" w:rsidR="00391DB2" w:rsidRPr="00DE43CD" w:rsidRDefault="00391DB2" w:rsidP="00391DB2">
      <w:pPr>
        <w:numPr>
          <w:ilvl w:val="0"/>
          <w:numId w:val="18"/>
        </w:numPr>
        <w:rPr>
          <w:rFonts w:ascii="Aptos" w:eastAsiaTheme="minorEastAsia" w:hAnsi="Aptos" w:cstheme="majorBidi"/>
        </w:rPr>
      </w:pPr>
      <w:r w:rsidRPr="00391DB2">
        <w:rPr>
          <w:rFonts w:ascii="Aptos" w:eastAsiaTheme="minorEastAsia" w:hAnsi="Aptos" w:cstheme="majorBidi"/>
        </w:rPr>
        <w:t>Clarifier les responsabilités de chaque acteur : administrations, prestataires et éditeurs.</w:t>
      </w:r>
    </w:p>
    <w:p w14:paraId="43063396" w14:textId="12E4D321" w:rsidR="00391DB2" w:rsidRPr="00DE43CD" w:rsidRDefault="00391DB2" w:rsidP="009E31C0">
      <w:pPr>
        <w:pStyle w:val="Titre2"/>
        <w:rPr>
          <w:rFonts w:eastAsiaTheme="minorEastAsia"/>
        </w:rPr>
      </w:pPr>
      <w:r>
        <w:rPr>
          <w:rFonts w:eastAsiaTheme="minorEastAsia"/>
        </w:rPr>
        <w:t>Permettre une mobilité sans obstacle</w:t>
      </w:r>
    </w:p>
    <w:p w14:paraId="07785446" w14:textId="77777777" w:rsidR="00AD611A" w:rsidRPr="00AD611A" w:rsidRDefault="00AD611A" w:rsidP="009E31C0">
      <w:pPr>
        <w:pStyle w:val="Titre3"/>
        <w:rPr>
          <w:rFonts w:eastAsiaTheme="minorEastAsia"/>
        </w:rPr>
      </w:pPr>
      <w:r w:rsidRPr="00AD611A">
        <w:rPr>
          <w:rFonts w:eastAsiaTheme="minorEastAsia"/>
        </w:rPr>
        <w:t>Pouvoir aller d’un point A à un point B, sans rupture d’accessibilité</w:t>
      </w:r>
    </w:p>
    <w:p w14:paraId="2E45BEF2" w14:textId="77777777" w:rsidR="00AD611A" w:rsidRPr="00AD611A" w:rsidRDefault="00AD611A" w:rsidP="00AD611A">
      <w:pPr>
        <w:rPr>
          <w:rFonts w:ascii="Aptos" w:eastAsiaTheme="minorEastAsia" w:hAnsi="Aptos" w:cstheme="majorBidi"/>
        </w:rPr>
      </w:pPr>
      <w:r w:rsidRPr="00AD611A">
        <w:rPr>
          <w:rFonts w:ascii="Aptos" w:eastAsiaTheme="minorEastAsia" w:hAnsi="Aptos" w:cstheme="majorBidi"/>
        </w:rPr>
        <w:t xml:space="preserve">Un trajet ne s’arrête pas à l’accessibilité d’une gare ou d’un bus. Trottoirs, voirie, transports, correspondances et pôles d’échanges forment une seule et même chaîne de déplacement. </w:t>
      </w:r>
      <w:r w:rsidRPr="00DE43CD">
        <w:rPr>
          <w:rFonts w:ascii="Aptos" w:eastAsiaTheme="minorEastAsia" w:hAnsi="Aptos" w:cstheme="majorBidi"/>
        </w:rPr>
        <w:t>Un seul maillon inaccessible suffit à empêcher le déplacement.</w:t>
      </w:r>
    </w:p>
    <w:p w14:paraId="44BB28A0" w14:textId="42116834" w:rsidR="00AD611A" w:rsidRPr="00AD611A" w:rsidRDefault="00DE43CD" w:rsidP="009E31C0">
      <w:pPr>
        <w:pStyle w:val="Titre4"/>
        <w:rPr>
          <w:rFonts w:eastAsiaTheme="minorEastAsia"/>
        </w:rPr>
      </w:pPr>
      <w:r>
        <w:rPr>
          <w:rFonts w:eastAsiaTheme="minorEastAsia"/>
        </w:rPr>
        <w:lastRenderedPageBreak/>
        <w:t xml:space="preserve">Nos propositions : </w:t>
      </w:r>
    </w:p>
    <w:p w14:paraId="5B124C61" w14:textId="77777777" w:rsidR="00AD611A" w:rsidRPr="00AD611A" w:rsidRDefault="00AD611A" w:rsidP="00AD611A">
      <w:pPr>
        <w:numPr>
          <w:ilvl w:val="0"/>
          <w:numId w:val="19"/>
        </w:numPr>
        <w:rPr>
          <w:rFonts w:ascii="Aptos" w:eastAsiaTheme="minorEastAsia" w:hAnsi="Aptos" w:cstheme="majorBidi"/>
        </w:rPr>
      </w:pPr>
      <w:r w:rsidRPr="00AD611A">
        <w:rPr>
          <w:rFonts w:ascii="Aptos" w:eastAsiaTheme="minorEastAsia" w:hAnsi="Aptos" w:cstheme="majorBidi"/>
        </w:rPr>
        <w:t>Renforcer les contrôles et les sanctions concernant l’accessibilité des ERP ;</w:t>
      </w:r>
    </w:p>
    <w:p w14:paraId="6808FF4D" w14:textId="77777777" w:rsidR="00AD611A" w:rsidRPr="00AD611A" w:rsidRDefault="00AD611A" w:rsidP="00AD611A">
      <w:pPr>
        <w:numPr>
          <w:ilvl w:val="0"/>
          <w:numId w:val="19"/>
        </w:numPr>
        <w:rPr>
          <w:rFonts w:ascii="Aptos" w:eastAsiaTheme="minorEastAsia" w:hAnsi="Aptos" w:cstheme="majorBidi"/>
        </w:rPr>
      </w:pPr>
      <w:r w:rsidRPr="00AD611A">
        <w:rPr>
          <w:rFonts w:ascii="Aptos" w:eastAsiaTheme="minorEastAsia" w:hAnsi="Aptos" w:cstheme="majorBidi"/>
        </w:rPr>
        <w:t>Étendre les contrôles à la voirie et aux espaces publics ;</w:t>
      </w:r>
    </w:p>
    <w:p w14:paraId="3C37138D" w14:textId="77777777" w:rsidR="00AD611A" w:rsidRPr="00AD611A" w:rsidRDefault="00AD611A" w:rsidP="00AD611A">
      <w:pPr>
        <w:numPr>
          <w:ilvl w:val="0"/>
          <w:numId w:val="19"/>
        </w:numPr>
        <w:rPr>
          <w:rFonts w:ascii="Aptos" w:eastAsiaTheme="minorEastAsia" w:hAnsi="Aptos" w:cstheme="majorBidi"/>
        </w:rPr>
      </w:pPr>
      <w:r w:rsidRPr="00AD611A">
        <w:rPr>
          <w:rFonts w:ascii="Aptos" w:eastAsiaTheme="minorEastAsia" w:hAnsi="Aptos" w:cstheme="majorBidi"/>
        </w:rPr>
        <w:t>Mettre en place un cadre réglementaire garantissant la continuité de la chaîne de déplacement, notamment dans les situations d’intermodalité ;</w:t>
      </w:r>
    </w:p>
    <w:p w14:paraId="27F5D540" w14:textId="77777777" w:rsidR="00AD611A" w:rsidRPr="00AD611A" w:rsidRDefault="00AD611A" w:rsidP="00AD611A">
      <w:pPr>
        <w:numPr>
          <w:ilvl w:val="0"/>
          <w:numId w:val="19"/>
        </w:numPr>
        <w:rPr>
          <w:rFonts w:ascii="Aptos" w:eastAsiaTheme="minorEastAsia" w:hAnsi="Aptos" w:cstheme="majorBidi"/>
        </w:rPr>
      </w:pPr>
      <w:r w:rsidRPr="00AD611A">
        <w:rPr>
          <w:rFonts w:ascii="Aptos" w:eastAsiaTheme="minorEastAsia" w:hAnsi="Aptos" w:cstheme="majorBidi"/>
        </w:rPr>
        <w:t>Améliorer l’accompagnement des voyageurs en situation de handicap dans les pôles d’échanges ;</w:t>
      </w:r>
    </w:p>
    <w:p w14:paraId="1D02C79A" w14:textId="77777777" w:rsidR="00AD611A" w:rsidRPr="00AD611A" w:rsidRDefault="00AD611A" w:rsidP="00AD611A">
      <w:pPr>
        <w:numPr>
          <w:ilvl w:val="0"/>
          <w:numId w:val="19"/>
        </w:numPr>
        <w:rPr>
          <w:rFonts w:ascii="Aptos" w:eastAsiaTheme="minorEastAsia" w:hAnsi="Aptos" w:cstheme="majorBidi"/>
        </w:rPr>
      </w:pPr>
      <w:r w:rsidRPr="00AD611A">
        <w:rPr>
          <w:rFonts w:ascii="Aptos" w:eastAsiaTheme="minorEastAsia" w:hAnsi="Aptos" w:cstheme="majorBidi"/>
        </w:rPr>
        <w:t>Développer des applications de guidage accessibles.</w:t>
      </w:r>
    </w:p>
    <w:p w14:paraId="0EB02023" w14:textId="77777777" w:rsidR="00AD611A" w:rsidRPr="00AD611A" w:rsidRDefault="00AD611A" w:rsidP="009E31C0">
      <w:pPr>
        <w:pStyle w:val="Titre3"/>
        <w:rPr>
          <w:rFonts w:eastAsiaTheme="minorEastAsia"/>
        </w:rPr>
      </w:pPr>
      <w:r w:rsidRPr="00AD611A">
        <w:rPr>
          <w:rFonts w:eastAsiaTheme="minorEastAsia"/>
        </w:rPr>
        <w:t>Un logement vraiment accessible, jusque dans les gestes du quotidien</w:t>
      </w:r>
    </w:p>
    <w:p w14:paraId="15CD933E" w14:textId="77777777" w:rsidR="00AD611A" w:rsidRPr="00AD611A" w:rsidRDefault="00AD611A" w:rsidP="00AD611A">
      <w:pPr>
        <w:rPr>
          <w:rFonts w:ascii="Aptos" w:eastAsiaTheme="minorEastAsia" w:hAnsi="Aptos" w:cstheme="majorBidi"/>
        </w:rPr>
      </w:pPr>
      <w:r w:rsidRPr="00AD611A">
        <w:rPr>
          <w:rFonts w:ascii="Aptos" w:eastAsiaTheme="minorEastAsia" w:hAnsi="Aptos" w:cstheme="majorBidi"/>
        </w:rPr>
        <w:t>Interphones, digicodes et dispositifs de contrôle d’accès peuvent encore constituer des obstacles à l’autonomie dans son propre logement.</w:t>
      </w:r>
    </w:p>
    <w:p w14:paraId="0A9671AA" w14:textId="02F261EF" w:rsidR="00AD611A" w:rsidRPr="00AD611A" w:rsidRDefault="00DE43CD" w:rsidP="009E31C0">
      <w:pPr>
        <w:pStyle w:val="Titre4"/>
        <w:rPr>
          <w:rFonts w:eastAsiaTheme="minorEastAsia"/>
        </w:rPr>
      </w:pPr>
      <w:r>
        <w:rPr>
          <w:rFonts w:eastAsiaTheme="minorEastAsia"/>
        </w:rPr>
        <w:t>Nos propositions</w:t>
      </w:r>
      <w:r w:rsidR="00AD611A" w:rsidRPr="00AD611A">
        <w:rPr>
          <w:rFonts w:eastAsiaTheme="minorEastAsia"/>
        </w:rPr>
        <w:t xml:space="preserve"> :</w:t>
      </w:r>
    </w:p>
    <w:p w14:paraId="48934CD1" w14:textId="77777777" w:rsidR="00AD611A" w:rsidRPr="00AD611A" w:rsidRDefault="00AD611A" w:rsidP="00AD611A">
      <w:pPr>
        <w:numPr>
          <w:ilvl w:val="0"/>
          <w:numId w:val="20"/>
        </w:numPr>
        <w:rPr>
          <w:rFonts w:ascii="Aptos" w:eastAsiaTheme="minorEastAsia" w:hAnsi="Aptos" w:cstheme="majorBidi"/>
        </w:rPr>
      </w:pPr>
      <w:r w:rsidRPr="00AD611A">
        <w:rPr>
          <w:rFonts w:ascii="Aptos" w:eastAsiaTheme="minorEastAsia" w:hAnsi="Aptos" w:cstheme="majorBidi"/>
        </w:rPr>
        <w:t>Créer une norme d’accessibilité pour les dispositifs de contrôle d’accès ;</w:t>
      </w:r>
    </w:p>
    <w:p w14:paraId="3EE2DBCA" w14:textId="160E2940" w:rsidR="00DE43CD" w:rsidRPr="00DE43CD" w:rsidRDefault="00AD611A" w:rsidP="00DE43CD">
      <w:pPr>
        <w:numPr>
          <w:ilvl w:val="0"/>
          <w:numId w:val="20"/>
        </w:numPr>
        <w:rPr>
          <w:rFonts w:ascii="Aptos" w:eastAsiaTheme="minorEastAsia" w:hAnsi="Aptos" w:cstheme="majorBidi"/>
        </w:rPr>
      </w:pPr>
      <w:r w:rsidRPr="00AD611A">
        <w:rPr>
          <w:rFonts w:ascii="Aptos" w:eastAsiaTheme="minorEastAsia" w:hAnsi="Aptos" w:cstheme="majorBidi"/>
        </w:rPr>
        <w:t>Faire évoluer le cadre réglementaire afin d’intégrer pleinement les besoins des personnes déficientes visuelles dans l’habitat.</w:t>
      </w:r>
    </w:p>
    <w:p w14:paraId="7E12050E" w14:textId="5A025EFC" w:rsidR="00AD611A" w:rsidRPr="00AD611A" w:rsidRDefault="00AD611A" w:rsidP="009E31C0">
      <w:pPr>
        <w:pStyle w:val="Titre2"/>
        <w:rPr>
          <w:rFonts w:eastAsiaTheme="minorEastAsia"/>
        </w:rPr>
      </w:pPr>
      <w:r>
        <w:rPr>
          <w:rFonts w:eastAsiaTheme="minorEastAsia"/>
        </w:rPr>
        <w:t xml:space="preserve">Rendre la culture accessible à toutes à et à tous </w:t>
      </w:r>
    </w:p>
    <w:p w14:paraId="036C63E6" w14:textId="77777777" w:rsidR="00A32BF4" w:rsidRPr="0059238C" w:rsidRDefault="00A32BF4" w:rsidP="009E31C0">
      <w:pPr>
        <w:pStyle w:val="Titre3"/>
        <w:rPr>
          <w:rFonts w:eastAsiaTheme="minorEastAsia"/>
        </w:rPr>
      </w:pPr>
      <w:r w:rsidRPr="0059238C">
        <w:rPr>
          <w:rFonts w:eastAsiaTheme="minorEastAsia"/>
        </w:rPr>
        <w:t>Voir autrement ne doit pas empêcher d’accéder à la culture</w:t>
      </w:r>
    </w:p>
    <w:p w14:paraId="70411A76" w14:textId="77777777" w:rsidR="00A32BF4" w:rsidRPr="0059238C" w:rsidRDefault="00A32BF4" w:rsidP="0059238C">
      <w:r w:rsidRPr="0059238C">
        <w:t>Cinéma, théâtre, musée, opéra : la culture doit pouvoir se vivre et se partager par toutes et tous. Pourtant, de nombreux contenus et lieux culturels restent encore difficilement accessibles aux personnes aveugles ou malvoyantes.</w:t>
      </w:r>
    </w:p>
    <w:p w14:paraId="0CA10BA5" w14:textId="21D89CA5" w:rsidR="00A32BF4" w:rsidRPr="0059238C" w:rsidRDefault="00DE43CD" w:rsidP="009E31C0">
      <w:pPr>
        <w:pStyle w:val="Titre4"/>
      </w:pPr>
      <w:r>
        <w:t>Nos propositions</w:t>
      </w:r>
      <w:r w:rsidR="00A32BF4" w:rsidRPr="0059238C">
        <w:t xml:space="preserve"> :</w:t>
      </w:r>
    </w:p>
    <w:p w14:paraId="19486647" w14:textId="77777777" w:rsidR="00A32BF4" w:rsidRPr="0059238C" w:rsidRDefault="00A32BF4" w:rsidP="00DE43CD">
      <w:pPr>
        <w:pStyle w:val="Paragraphedeliste"/>
        <w:numPr>
          <w:ilvl w:val="0"/>
          <w:numId w:val="23"/>
        </w:numPr>
      </w:pPr>
      <w:r w:rsidRPr="0059238C">
        <w:t>Généraliser et rendre facilement disponible l’audiodescription au cinéma et dans l’audiovisuel ;</w:t>
      </w:r>
    </w:p>
    <w:p w14:paraId="029FBD1A" w14:textId="38336BF0" w:rsidR="00797E82" w:rsidRPr="009E31C0" w:rsidRDefault="00A32BF4" w:rsidP="009E31C0">
      <w:pPr>
        <w:pStyle w:val="Paragraphedeliste"/>
        <w:numPr>
          <w:ilvl w:val="0"/>
          <w:numId w:val="23"/>
        </w:numPr>
      </w:pPr>
      <w:r w:rsidRPr="0059238C">
        <w:t>Améliorer l’accueil et l’accompagnement des personnes aveugles ou malvoyantes dans les lieux culturels : musées, théâtres, opéras et salles de spectacles.</w:t>
      </w:r>
    </w:p>
    <w:sectPr w:rsidR="00797E82" w:rsidRPr="009E31C0">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2FBBC" w14:textId="77777777" w:rsidR="00281C0E" w:rsidRDefault="00281C0E" w:rsidP="009E31C0">
      <w:pPr>
        <w:spacing w:after="0" w:line="240" w:lineRule="auto"/>
      </w:pPr>
      <w:r>
        <w:separator/>
      </w:r>
    </w:p>
  </w:endnote>
  <w:endnote w:type="continuationSeparator" w:id="0">
    <w:p w14:paraId="4A7DFD8C" w14:textId="77777777" w:rsidR="00281C0E" w:rsidRDefault="00281C0E" w:rsidP="009E3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CC57D" w14:textId="77777777" w:rsidR="00281C0E" w:rsidRDefault="00281C0E" w:rsidP="009E31C0">
      <w:pPr>
        <w:spacing w:after="0" w:line="240" w:lineRule="auto"/>
      </w:pPr>
      <w:r>
        <w:separator/>
      </w:r>
    </w:p>
  </w:footnote>
  <w:footnote w:type="continuationSeparator" w:id="0">
    <w:p w14:paraId="74EE6FC4" w14:textId="77777777" w:rsidR="00281C0E" w:rsidRDefault="00281C0E" w:rsidP="009E31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1A5BD" w14:textId="4F154A91" w:rsidR="009E31C0" w:rsidRDefault="009E31C0">
    <w:pPr>
      <w:pStyle w:val="En-tte"/>
    </w:pPr>
    <w:r w:rsidRPr="00DB6BF7">
      <w:rPr>
        <w:rFonts w:ascii="Times New Roman"/>
        <w:noProof/>
        <w:sz w:val="7"/>
      </w:rPr>
      <w:drawing>
        <wp:anchor distT="0" distB="0" distL="114300" distR="114300" simplePos="0" relativeHeight="251659264" behindDoc="0" locked="0" layoutInCell="1" allowOverlap="1" wp14:anchorId="213E52D4" wp14:editId="38B7043E">
          <wp:simplePos x="0" y="0"/>
          <wp:positionH relativeFrom="column">
            <wp:posOffset>5410200</wp:posOffset>
          </wp:positionH>
          <wp:positionV relativeFrom="paragraph">
            <wp:posOffset>-448310</wp:posOffset>
          </wp:positionV>
          <wp:extent cx="1231900" cy="1371600"/>
          <wp:effectExtent l="0" t="0" r="6350" b="0"/>
          <wp:wrapNone/>
          <wp:docPr id="1781970310"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970310" name="Imag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31900" cy="137160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5A2BD2B" wp14:editId="5F76BFF1">
          <wp:extent cx="2440362" cy="1762125"/>
          <wp:effectExtent l="0" t="0" r="0" b="0"/>
          <wp:docPr id="808361557" name="Image 3" descr="Logo Association Valentin Haüy&#10;Avec les aveugles et les malvoyants &#10;Agir pour l’autonom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361557" name="Image 3" descr="Logo Association Valentin Haüy&#10;Avec les aveugles et les malvoyants &#10;Agir pour l’autonomi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0327" cy="176932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B22AD"/>
    <w:multiLevelType w:val="multilevel"/>
    <w:tmpl w:val="DBE0D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0F368F"/>
    <w:multiLevelType w:val="hybridMultilevel"/>
    <w:tmpl w:val="720009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558089C"/>
    <w:multiLevelType w:val="multilevel"/>
    <w:tmpl w:val="F1A60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53E29"/>
    <w:multiLevelType w:val="multilevel"/>
    <w:tmpl w:val="F14A3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B85F1C"/>
    <w:multiLevelType w:val="multilevel"/>
    <w:tmpl w:val="FEEC2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AD5A9C"/>
    <w:multiLevelType w:val="hybridMultilevel"/>
    <w:tmpl w:val="C10212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71E6272"/>
    <w:multiLevelType w:val="multilevel"/>
    <w:tmpl w:val="E76A6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634D1A"/>
    <w:multiLevelType w:val="multilevel"/>
    <w:tmpl w:val="502C4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3C4889"/>
    <w:multiLevelType w:val="hybridMultilevel"/>
    <w:tmpl w:val="D6C84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CAB5B6C"/>
    <w:multiLevelType w:val="multilevel"/>
    <w:tmpl w:val="1780D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F87E22"/>
    <w:multiLevelType w:val="multilevel"/>
    <w:tmpl w:val="4470E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E82848"/>
    <w:multiLevelType w:val="multilevel"/>
    <w:tmpl w:val="F3C0D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CA2DEF"/>
    <w:multiLevelType w:val="multilevel"/>
    <w:tmpl w:val="AC98D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284525"/>
    <w:multiLevelType w:val="multilevel"/>
    <w:tmpl w:val="E0049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8A735E"/>
    <w:multiLevelType w:val="hybridMultilevel"/>
    <w:tmpl w:val="066EE610"/>
    <w:lvl w:ilvl="0" w:tplc="8894FF2E">
      <w:start w:val="1"/>
      <w:numFmt w:val="decimal"/>
      <w:pStyle w:val="Titre2"/>
      <w:lvlText w:val="%1."/>
      <w:lvlJc w:val="left"/>
      <w:pPr>
        <w:ind w:left="720" w:hanging="360"/>
      </w:pPr>
      <w:rPr>
        <w:rFonts w:eastAsiaTheme="majorEastAsia"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34A2D53"/>
    <w:multiLevelType w:val="multilevel"/>
    <w:tmpl w:val="F7369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CE74C4"/>
    <w:multiLevelType w:val="multilevel"/>
    <w:tmpl w:val="A1DCF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9966F5"/>
    <w:multiLevelType w:val="multilevel"/>
    <w:tmpl w:val="3BDCB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9812A8"/>
    <w:multiLevelType w:val="multilevel"/>
    <w:tmpl w:val="E7344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766431"/>
    <w:multiLevelType w:val="multilevel"/>
    <w:tmpl w:val="CADCE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7314C1"/>
    <w:multiLevelType w:val="multilevel"/>
    <w:tmpl w:val="DF381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812164"/>
    <w:multiLevelType w:val="hybridMultilevel"/>
    <w:tmpl w:val="8304B8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BCB60A1"/>
    <w:multiLevelType w:val="multilevel"/>
    <w:tmpl w:val="88465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6561871">
    <w:abstractNumId w:val="13"/>
  </w:num>
  <w:num w:numId="2" w16cid:durableId="723410880">
    <w:abstractNumId w:val="10"/>
  </w:num>
  <w:num w:numId="3" w16cid:durableId="620187788">
    <w:abstractNumId w:val="3"/>
  </w:num>
  <w:num w:numId="4" w16cid:durableId="603853624">
    <w:abstractNumId w:val="19"/>
  </w:num>
  <w:num w:numId="5" w16cid:durableId="1737631933">
    <w:abstractNumId w:val="22"/>
  </w:num>
  <w:num w:numId="6" w16cid:durableId="1562517715">
    <w:abstractNumId w:val="11"/>
  </w:num>
  <w:num w:numId="7" w16cid:durableId="2033989704">
    <w:abstractNumId w:val="0"/>
  </w:num>
  <w:num w:numId="8" w16cid:durableId="1452750651">
    <w:abstractNumId w:val="20"/>
  </w:num>
  <w:num w:numId="9" w16cid:durableId="1482889196">
    <w:abstractNumId w:val="14"/>
  </w:num>
  <w:num w:numId="10" w16cid:durableId="982808546">
    <w:abstractNumId w:val="18"/>
  </w:num>
  <w:num w:numId="11" w16cid:durableId="1552110628">
    <w:abstractNumId w:val="4"/>
  </w:num>
  <w:num w:numId="12" w16cid:durableId="1023625972">
    <w:abstractNumId w:val="16"/>
  </w:num>
  <w:num w:numId="13" w16cid:durableId="1958755892">
    <w:abstractNumId w:val="5"/>
  </w:num>
  <w:num w:numId="14" w16cid:durableId="812527375">
    <w:abstractNumId w:val="1"/>
  </w:num>
  <w:num w:numId="15" w16cid:durableId="762385451">
    <w:abstractNumId w:val="21"/>
  </w:num>
  <w:num w:numId="16" w16cid:durableId="1744722394">
    <w:abstractNumId w:val="2"/>
  </w:num>
  <w:num w:numId="17" w16cid:durableId="949094119">
    <w:abstractNumId w:val="17"/>
  </w:num>
  <w:num w:numId="18" w16cid:durableId="1713648156">
    <w:abstractNumId w:val="7"/>
  </w:num>
  <w:num w:numId="19" w16cid:durableId="1414353543">
    <w:abstractNumId w:val="6"/>
  </w:num>
  <w:num w:numId="20" w16cid:durableId="972298298">
    <w:abstractNumId w:val="12"/>
  </w:num>
  <w:num w:numId="21" w16cid:durableId="482745501">
    <w:abstractNumId w:val="9"/>
  </w:num>
  <w:num w:numId="22" w16cid:durableId="481889689">
    <w:abstractNumId w:val="15"/>
  </w:num>
  <w:num w:numId="23" w16cid:durableId="21156635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680"/>
    <w:rsid w:val="0007061E"/>
    <w:rsid w:val="001051A5"/>
    <w:rsid w:val="001C4423"/>
    <w:rsid w:val="00237C94"/>
    <w:rsid w:val="00281C0E"/>
    <w:rsid w:val="00391DB2"/>
    <w:rsid w:val="00474DE5"/>
    <w:rsid w:val="005143AD"/>
    <w:rsid w:val="0059238C"/>
    <w:rsid w:val="00797E82"/>
    <w:rsid w:val="00832680"/>
    <w:rsid w:val="0088223A"/>
    <w:rsid w:val="009E31C0"/>
    <w:rsid w:val="00A3163D"/>
    <w:rsid w:val="00A32BF4"/>
    <w:rsid w:val="00AD611A"/>
    <w:rsid w:val="00B575BC"/>
    <w:rsid w:val="00BD3261"/>
    <w:rsid w:val="00C352C2"/>
    <w:rsid w:val="00DE43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4AC6E"/>
  <w15:chartTrackingRefBased/>
  <w15:docId w15:val="{77522E24-9788-4744-A006-ECD1D99A7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261"/>
  </w:style>
  <w:style w:type="paragraph" w:styleId="Titre1">
    <w:name w:val="heading 1"/>
    <w:basedOn w:val="Normal"/>
    <w:next w:val="Normal"/>
    <w:link w:val="Titre1Car"/>
    <w:uiPriority w:val="9"/>
    <w:qFormat/>
    <w:rsid w:val="008326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9E31C0"/>
    <w:pPr>
      <w:keepNext/>
      <w:keepLines/>
      <w:numPr>
        <w:numId w:val="9"/>
      </w:numPr>
      <w:spacing w:before="160" w:after="80"/>
      <w:outlineLvl w:val="1"/>
    </w:pPr>
    <w:rPr>
      <w:rFonts w:asciiTheme="majorHAnsi" w:eastAsiaTheme="majorEastAsia" w:hAnsiTheme="majorHAnsi" w:cstheme="majorBidi"/>
      <w:b/>
      <w:bCs/>
      <w:color w:val="7030A0"/>
      <w:sz w:val="32"/>
      <w:szCs w:val="32"/>
    </w:rPr>
  </w:style>
  <w:style w:type="paragraph" w:styleId="Titre3">
    <w:name w:val="heading 3"/>
    <w:basedOn w:val="Normal"/>
    <w:next w:val="Normal"/>
    <w:link w:val="Titre3Car"/>
    <w:uiPriority w:val="9"/>
    <w:unhideWhenUsed/>
    <w:qFormat/>
    <w:rsid w:val="009E31C0"/>
    <w:pPr>
      <w:keepNext/>
      <w:keepLines/>
      <w:spacing w:before="160" w:after="80"/>
      <w:outlineLvl w:val="2"/>
    </w:pPr>
    <w:rPr>
      <w:rFonts w:eastAsia="Times New Roman" w:cstheme="majorBidi"/>
      <w:color w:val="E97132" w:themeColor="accent2"/>
      <w:sz w:val="28"/>
      <w:szCs w:val="28"/>
      <w:lang w:eastAsia="fr-FR"/>
    </w:rPr>
  </w:style>
  <w:style w:type="paragraph" w:styleId="Titre4">
    <w:name w:val="heading 4"/>
    <w:basedOn w:val="Normal"/>
    <w:next w:val="Normal"/>
    <w:link w:val="Titre4Car"/>
    <w:uiPriority w:val="9"/>
    <w:unhideWhenUsed/>
    <w:qFormat/>
    <w:rsid w:val="009E31C0"/>
    <w:pPr>
      <w:keepNext/>
      <w:keepLines/>
      <w:spacing w:before="80" w:after="40"/>
      <w:outlineLvl w:val="3"/>
    </w:pPr>
    <w:rPr>
      <w:rFonts w:eastAsiaTheme="majorEastAsia" w:cstheme="majorBidi"/>
      <w:color w:val="E97132" w:themeColor="accent2"/>
    </w:rPr>
  </w:style>
  <w:style w:type="paragraph" w:styleId="Titre5">
    <w:name w:val="heading 5"/>
    <w:basedOn w:val="Normal"/>
    <w:next w:val="Normal"/>
    <w:link w:val="Titre5Car"/>
    <w:uiPriority w:val="9"/>
    <w:semiHidden/>
    <w:unhideWhenUsed/>
    <w:qFormat/>
    <w:rsid w:val="0083268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3268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3268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3268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3268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3268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9E31C0"/>
    <w:rPr>
      <w:rFonts w:asciiTheme="majorHAnsi" w:eastAsiaTheme="majorEastAsia" w:hAnsiTheme="majorHAnsi" w:cstheme="majorBidi"/>
      <w:b/>
      <w:bCs/>
      <w:color w:val="7030A0"/>
      <w:sz w:val="32"/>
      <w:szCs w:val="32"/>
    </w:rPr>
  </w:style>
  <w:style w:type="character" w:customStyle="1" w:styleId="Titre3Car">
    <w:name w:val="Titre 3 Car"/>
    <w:basedOn w:val="Policepardfaut"/>
    <w:link w:val="Titre3"/>
    <w:uiPriority w:val="9"/>
    <w:rsid w:val="009E31C0"/>
    <w:rPr>
      <w:rFonts w:eastAsia="Times New Roman" w:cstheme="majorBidi"/>
      <w:color w:val="E97132" w:themeColor="accent2"/>
      <w:sz w:val="28"/>
      <w:szCs w:val="28"/>
      <w:lang w:eastAsia="fr-FR"/>
    </w:rPr>
  </w:style>
  <w:style w:type="character" w:customStyle="1" w:styleId="Titre4Car">
    <w:name w:val="Titre 4 Car"/>
    <w:basedOn w:val="Policepardfaut"/>
    <w:link w:val="Titre4"/>
    <w:uiPriority w:val="9"/>
    <w:rsid w:val="009E31C0"/>
    <w:rPr>
      <w:rFonts w:eastAsiaTheme="majorEastAsia" w:cstheme="majorBidi"/>
      <w:color w:val="E97132" w:themeColor="accent2"/>
    </w:rPr>
  </w:style>
  <w:style w:type="character" w:customStyle="1" w:styleId="Titre5Car">
    <w:name w:val="Titre 5 Car"/>
    <w:basedOn w:val="Policepardfaut"/>
    <w:link w:val="Titre5"/>
    <w:uiPriority w:val="9"/>
    <w:semiHidden/>
    <w:rsid w:val="0083268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3268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3268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3268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32680"/>
    <w:rPr>
      <w:rFonts w:eastAsiaTheme="majorEastAsia" w:cstheme="majorBidi"/>
      <w:color w:val="272727" w:themeColor="text1" w:themeTint="D8"/>
    </w:rPr>
  </w:style>
  <w:style w:type="paragraph" w:styleId="Titre">
    <w:name w:val="Title"/>
    <w:basedOn w:val="Normal"/>
    <w:next w:val="Normal"/>
    <w:link w:val="TitreCar"/>
    <w:uiPriority w:val="10"/>
    <w:qFormat/>
    <w:rsid w:val="008326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3268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3268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3268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32680"/>
    <w:pPr>
      <w:spacing w:before="160"/>
      <w:jc w:val="center"/>
    </w:pPr>
    <w:rPr>
      <w:i/>
      <w:iCs/>
      <w:color w:val="404040" w:themeColor="text1" w:themeTint="BF"/>
    </w:rPr>
  </w:style>
  <w:style w:type="character" w:customStyle="1" w:styleId="CitationCar">
    <w:name w:val="Citation Car"/>
    <w:basedOn w:val="Policepardfaut"/>
    <w:link w:val="Citation"/>
    <w:uiPriority w:val="29"/>
    <w:rsid w:val="00832680"/>
    <w:rPr>
      <w:i/>
      <w:iCs/>
      <w:color w:val="404040" w:themeColor="text1" w:themeTint="BF"/>
    </w:rPr>
  </w:style>
  <w:style w:type="paragraph" w:styleId="Paragraphedeliste">
    <w:name w:val="List Paragraph"/>
    <w:basedOn w:val="Normal"/>
    <w:uiPriority w:val="34"/>
    <w:qFormat/>
    <w:rsid w:val="00832680"/>
    <w:pPr>
      <w:ind w:left="720"/>
      <w:contextualSpacing/>
    </w:pPr>
  </w:style>
  <w:style w:type="character" w:styleId="Accentuationintense">
    <w:name w:val="Intense Emphasis"/>
    <w:basedOn w:val="Policepardfaut"/>
    <w:uiPriority w:val="21"/>
    <w:qFormat/>
    <w:rsid w:val="00832680"/>
    <w:rPr>
      <w:i/>
      <w:iCs/>
      <w:color w:val="0F4761" w:themeColor="accent1" w:themeShade="BF"/>
    </w:rPr>
  </w:style>
  <w:style w:type="paragraph" w:styleId="Citationintense">
    <w:name w:val="Intense Quote"/>
    <w:basedOn w:val="Normal"/>
    <w:next w:val="Normal"/>
    <w:link w:val="CitationintenseCar"/>
    <w:uiPriority w:val="30"/>
    <w:qFormat/>
    <w:rsid w:val="008326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32680"/>
    <w:rPr>
      <w:i/>
      <w:iCs/>
      <w:color w:val="0F4761" w:themeColor="accent1" w:themeShade="BF"/>
    </w:rPr>
  </w:style>
  <w:style w:type="character" w:styleId="Rfrenceintense">
    <w:name w:val="Intense Reference"/>
    <w:basedOn w:val="Policepardfaut"/>
    <w:uiPriority w:val="32"/>
    <w:qFormat/>
    <w:rsid w:val="00832680"/>
    <w:rPr>
      <w:b/>
      <w:bCs/>
      <w:smallCaps/>
      <w:color w:val="0F4761" w:themeColor="accent1" w:themeShade="BF"/>
      <w:spacing w:val="5"/>
    </w:rPr>
  </w:style>
  <w:style w:type="paragraph" w:styleId="En-tte">
    <w:name w:val="header"/>
    <w:basedOn w:val="Normal"/>
    <w:link w:val="En-tteCar"/>
    <w:uiPriority w:val="99"/>
    <w:unhideWhenUsed/>
    <w:rsid w:val="009E31C0"/>
    <w:pPr>
      <w:tabs>
        <w:tab w:val="center" w:pos="4536"/>
        <w:tab w:val="right" w:pos="9072"/>
      </w:tabs>
      <w:spacing w:after="0" w:line="240" w:lineRule="auto"/>
    </w:pPr>
  </w:style>
  <w:style w:type="character" w:customStyle="1" w:styleId="En-tteCar">
    <w:name w:val="En-tête Car"/>
    <w:basedOn w:val="Policepardfaut"/>
    <w:link w:val="En-tte"/>
    <w:uiPriority w:val="99"/>
    <w:rsid w:val="009E31C0"/>
  </w:style>
  <w:style w:type="paragraph" w:styleId="Pieddepage">
    <w:name w:val="footer"/>
    <w:basedOn w:val="Normal"/>
    <w:link w:val="PieddepageCar"/>
    <w:uiPriority w:val="99"/>
    <w:unhideWhenUsed/>
    <w:rsid w:val="009E31C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E31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7d2f05e-e63c-40b1-959a-50978d1738fe" xsi:nil="true"/>
    <lcf76f155ced4ddcb4097134ff3c332f xmlns="9119eb59-4e80-48c6-afcb-33c17b0cf11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F60D9FF9A3BF4395EDC34E7DCC054A" ma:contentTypeVersion="13" ma:contentTypeDescription="Crée un document." ma:contentTypeScope="" ma:versionID="2867e98d96ea492803c963a2c7834928">
  <xsd:schema xmlns:xsd="http://www.w3.org/2001/XMLSchema" xmlns:xs="http://www.w3.org/2001/XMLSchema" xmlns:p="http://schemas.microsoft.com/office/2006/metadata/properties" xmlns:ns2="9119eb59-4e80-48c6-afcb-33c17b0cf116" xmlns:ns3="87d2f05e-e63c-40b1-959a-50978d1738fe" targetNamespace="http://schemas.microsoft.com/office/2006/metadata/properties" ma:root="true" ma:fieldsID="d6dad2f97e44e97d41a3a1609bd95a3b" ns2:_="" ns3:_="">
    <xsd:import namespace="9119eb59-4e80-48c6-afcb-33c17b0cf116"/>
    <xsd:import namespace="87d2f05e-e63c-40b1-959a-50978d1738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19eb59-4e80-48c6-afcb-33c17b0cf1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5f817617-d30b-442d-a0f7-658d62f252b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d2f05e-e63c-40b1-959a-50978d1738f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bb89804-30a7-4393-be7b-fba4f2b8c79b}" ma:internalName="TaxCatchAll" ma:showField="CatchAllData" ma:web="87d2f05e-e63c-40b1-959a-50978d1738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AD1924-BD32-4CE4-B6A9-EBAC017ED892}">
  <ds:schemaRefs>
    <ds:schemaRef ds:uri="http://schemas.microsoft.com/office/2006/metadata/properties"/>
    <ds:schemaRef ds:uri="http://schemas.microsoft.com/office/infopath/2007/PartnerControls"/>
    <ds:schemaRef ds:uri="87d2f05e-e63c-40b1-959a-50978d1738fe"/>
    <ds:schemaRef ds:uri="9119eb59-4e80-48c6-afcb-33c17b0cf116"/>
  </ds:schemaRefs>
</ds:datastoreItem>
</file>

<file path=customXml/itemProps2.xml><?xml version="1.0" encoding="utf-8"?>
<ds:datastoreItem xmlns:ds="http://schemas.openxmlformats.org/officeDocument/2006/customXml" ds:itemID="{07D2C406-BAA3-40D9-83D4-04DFEDAC9A30}">
  <ds:schemaRefs>
    <ds:schemaRef ds:uri="http://schemas.microsoft.com/sharepoint/v3/contenttype/forms"/>
  </ds:schemaRefs>
</ds:datastoreItem>
</file>

<file path=customXml/itemProps3.xml><?xml version="1.0" encoding="utf-8"?>
<ds:datastoreItem xmlns:ds="http://schemas.openxmlformats.org/officeDocument/2006/customXml" ds:itemID="{00A6D308-C4F9-4D7D-B578-8B68029351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19eb59-4e80-48c6-afcb-33c17b0cf116"/>
    <ds:schemaRef ds:uri="87d2f05e-e63c-40b1-959a-50978d1738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920</Words>
  <Characters>5061</Characters>
  <Application>Microsoft Office Word</Application>
  <DocSecurity>0</DocSecurity>
  <Lines>42</Lines>
  <Paragraphs>11</Paragraphs>
  <ScaleCrop>false</ScaleCrop>
  <Company/>
  <LinksUpToDate>false</LinksUpToDate>
  <CharactersWithSpaces>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GREENEP-SORIEUL Lilou</dc:creator>
  <cp:keywords/>
  <dc:description/>
  <cp:lastModifiedBy>GREENEP-SORIEUL Lilou</cp:lastModifiedBy>
  <cp:revision>16</cp:revision>
  <dcterms:created xsi:type="dcterms:W3CDTF">2026-09-30T08:03:00Z</dcterms:created>
  <dcterms:modified xsi:type="dcterms:W3CDTF">2026-10-01T14:47:00Z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0x010100DAF60D9FF9A3BF4395EDC34E7DCC054A</vt:lpwstr>
  </property>
</Properties>
</file>